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rPr>
          <w:rFonts w:hint="eastAsia" w:asciiTheme="minorEastAsia" w:hAnsiTheme="minorEastAsia" w:eastAsiaTheme="minorEastAsia" w:cstheme="minorEastAsia"/>
          <w:b/>
          <w:sz w:val="36"/>
          <w:szCs w:val="36"/>
        </w:rPr>
      </w:pPr>
      <w:bookmarkStart w:id="25" w:name="_GoBack"/>
      <w:bookmarkEnd w:id="25"/>
    </w:p>
    <w:p>
      <w:pPr>
        <w:ind w:firstLine="723"/>
        <w:rPr>
          <w:rFonts w:hint="eastAsia" w:asciiTheme="minorEastAsia" w:hAnsiTheme="minorEastAsia" w:eastAsiaTheme="minorEastAsia" w:cstheme="minorEastAsia"/>
          <w:b/>
          <w:sz w:val="36"/>
          <w:szCs w:val="36"/>
        </w:rPr>
      </w:pPr>
    </w:p>
    <w:p>
      <w:pPr>
        <w:ind w:firstLine="723"/>
        <w:rPr>
          <w:rFonts w:hint="eastAsia" w:asciiTheme="minorEastAsia" w:hAnsiTheme="minorEastAsia" w:eastAsiaTheme="minorEastAsia" w:cstheme="minorEastAsia"/>
          <w:b/>
          <w:sz w:val="36"/>
          <w:szCs w:val="36"/>
        </w:rPr>
      </w:pPr>
    </w:p>
    <w:p>
      <w:pPr>
        <w:ind w:firstLine="0" w:firstLineChars="0"/>
        <w:jc w:val="center"/>
        <w:rPr>
          <w:rFonts w:hint="eastAsia" w:asciiTheme="minorEastAsia" w:hAnsiTheme="minorEastAsia" w:eastAsiaTheme="minorEastAsia" w:cstheme="minorEastAsia"/>
          <w:b/>
          <w:color w:val="000000" w:themeColor="text1"/>
          <w:sz w:val="44"/>
          <w:szCs w:val="44"/>
          <w14:textFill>
            <w14:solidFill>
              <w14:schemeClr w14:val="tx1"/>
            </w14:solidFill>
          </w14:textFill>
        </w:rPr>
      </w:pPr>
      <w:r>
        <w:rPr>
          <w:rFonts w:hint="eastAsia" w:asciiTheme="minorEastAsia" w:hAnsiTheme="minorEastAsia" w:eastAsiaTheme="minorEastAsia" w:cstheme="minorEastAsia"/>
          <w:b/>
          <w:color w:val="000000" w:themeColor="text1"/>
          <w:sz w:val="44"/>
          <w:szCs w:val="44"/>
          <w14:textFill>
            <w14:solidFill>
              <w14:schemeClr w14:val="tx1"/>
            </w14:solidFill>
          </w14:textFill>
        </w:rPr>
        <w:t>甘肃省2017年度电信普遍服务试点建设项目（</w:t>
      </w:r>
      <w:r>
        <w:rPr>
          <w:rFonts w:hint="eastAsia" w:asciiTheme="minorEastAsia" w:hAnsiTheme="minorEastAsia" w:eastAsiaTheme="minorEastAsia" w:cstheme="minorEastAsia"/>
          <w:b/>
          <w:color w:val="000000" w:themeColor="text1"/>
          <w:sz w:val="44"/>
          <w:szCs w:val="44"/>
          <w:lang w:eastAsia="zh-CN"/>
          <w14:textFill>
            <w14:solidFill>
              <w14:schemeClr w14:val="tx1"/>
            </w14:solidFill>
          </w14:textFill>
        </w:rPr>
        <w:t>甘南片区2：</w:t>
      </w:r>
      <w:r>
        <w:rPr>
          <w:rFonts w:hint="eastAsia" w:asciiTheme="minorEastAsia" w:hAnsiTheme="minorEastAsia" w:eastAsiaTheme="minorEastAsia" w:cstheme="minorEastAsia"/>
          <w:b/>
          <w:color w:val="000000" w:themeColor="text1"/>
          <w:sz w:val="44"/>
          <w:szCs w:val="44"/>
          <w14:textFill>
            <w14:solidFill>
              <w14:schemeClr w14:val="tx1"/>
            </w14:solidFill>
          </w14:textFill>
        </w:rPr>
        <w:t>临潭县、卓尼县、夏河县、碌曲县）验收报告</w:t>
      </w: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0" w:firstLineChars="0"/>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p>
      <w:pPr>
        <w:ind w:firstLine="643"/>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甘肃省通信产业工程监理有限公司</w:t>
      </w:r>
    </w:p>
    <w:p>
      <w:pPr>
        <w:ind w:firstLine="643"/>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2019年4月15日</w:t>
      </w:r>
    </w:p>
    <w:p>
      <w:pPr>
        <w:ind w:firstLine="643"/>
        <w:jc w:val="center"/>
        <w:rPr>
          <w:rFonts w:hint="eastAsia" w:asciiTheme="minorEastAsia" w:hAnsiTheme="minorEastAsia" w:eastAsiaTheme="minorEastAsia" w:cstheme="minorEastAsia"/>
          <w:b/>
          <w:sz w:val="32"/>
          <w:szCs w:val="32"/>
        </w:rPr>
      </w:pPr>
    </w:p>
    <w:p>
      <w:pPr>
        <w:ind w:firstLine="723"/>
        <w:jc w:val="center"/>
        <w:rPr>
          <w:rFonts w:hint="eastAsia" w:asciiTheme="minorEastAsia" w:hAnsiTheme="minorEastAsia" w:eastAsiaTheme="minorEastAsia" w:cstheme="minorEastAsia"/>
          <w:b/>
          <w:sz w:val="36"/>
          <w:szCs w:val="36"/>
        </w:rPr>
      </w:pPr>
    </w:p>
    <w:p>
      <w:pPr>
        <w:ind w:firstLine="723"/>
        <w:jc w:val="center"/>
        <w:rPr>
          <w:rFonts w:hint="eastAsia" w:asciiTheme="minorEastAsia" w:hAnsiTheme="minorEastAsia" w:eastAsiaTheme="minorEastAsia" w:cstheme="minorEastAsia"/>
          <w:b/>
          <w:sz w:val="36"/>
          <w:szCs w:val="36"/>
        </w:rPr>
      </w:pPr>
    </w:p>
    <w:sdt>
      <w:sdtPr>
        <w:rPr>
          <w:rFonts w:hint="eastAsia" w:asciiTheme="minorEastAsia" w:hAnsiTheme="minorEastAsia" w:eastAsiaTheme="minorEastAsia" w:cstheme="minorEastAsia"/>
          <w:b w:val="0"/>
          <w:bCs w:val="0"/>
          <w:color w:val="auto"/>
          <w:kern w:val="2"/>
          <w:sz w:val="32"/>
          <w:szCs w:val="32"/>
          <w:lang w:val="zh-CN"/>
        </w:rPr>
        <w:id w:val="1431786055"/>
        <w:docPartObj>
          <w:docPartGallery w:val="Table of Contents"/>
          <w:docPartUnique/>
        </w:docPartObj>
      </w:sdtPr>
      <w:sdtEndPr>
        <w:rPr>
          <w:rFonts w:hint="eastAsia" w:asciiTheme="minorEastAsia" w:hAnsiTheme="minorEastAsia" w:eastAsiaTheme="minorEastAsia" w:cstheme="minorEastAsia"/>
          <w:b w:val="0"/>
          <w:bCs w:val="0"/>
          <w:color w:val="auto"/>
          <w:kern w:val="2"/>
          <w:sz w:val="28"/>
          <w:szCs w:val="28"/>
          <w:shd w:val="clear" w:color="FFFFFF" w:fill="D9D9D9"/>
          <w:lang w:val="zh-CN"/>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目</w:t>
          </w:r>
          <w:r>
            <w:rPr>
              <w:rFonts w:hint="eastAsia" w:asciiTheme="minorEastAsia" w:hAnsiTheme="minorEastAsia" w:eastAsiaTheme="minorEastAsia" w:cstheme="minorEastAsia"/>
              <w:sz w:val="36"/>
              <w:szCs w:val="36"/>
              <w:lang w:val="en-US" w:eastAsia="zh-CN"/>
            </w:rPr>
            <w:t xml:space="preserve"> </w:t>
          </w:r>
          <w:r>
            <w:rPr>
              <w:rFonts w:hint="eastAsia" w:asciiTheme="minorEastAsia" w:hAnsiTheme="minorEastAsia" w:eastAsiaTheme="minorEastAsia" w:cstheme="minorEastAsia"/>
              <w:sz w:val="36"/>
              <w:szCs w:val="36"/>
            </w:rPr>
            <w:t>录</w:t>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shd w:val="clear" w:color="auto" w:fill="auto"/>
            </w:rPr>
            <w:fldChar w:fldCharType="begin"/>
          </w:r>
          <w:r>
            <w:rPr>
              <w:rFonts w:hint="eastAsia" w:asciiTheme="minorEastAsia" w:hAnsiTheme="minorEastAsia" w:eastAsiaTheme="minorEastAsia" w:cstheme="minorEastAsia"/>
              <w:sz w:val="28"/>
              <w:szCs w:val="28"/>
              <w:shd w:val="clear" w:color="auto" w:fill="auto"/>
            </w:rPr>
            <w:instrText xml:space="preserve"> TOC \o "1-3" \h \z \u </w:instrText>
          </w:r>
          <w:r>
            <w:rPr>
              <w:rFonts w:hint="eastAsia" w:asciiTheme="minorEastAsia" w:hAnsiTheme="minorEastAsia" w:eastAsiaTheme="minorEastAsia" w:cstheme="minorEastAsia"/>
              <w:sz w:val="28"/>
              <w:szCs w:val="28"/>
              <w:shd w:val="clear" w:color="auto" w:fill="auto"/>
            </w:rPr>
            <w:fldChar w:fldCharType="separate"/>
          </w:r>
          <w:r>
            <w:rPr>
              <w:rFonts w:hint="eastAsia" w:asciiTheme="minorEastAsia" w:hAnsiTheme="minorEastAsia" w:eastAsiaTheme="minorEastAsia" w:cstheme="minorEastAsia"/>
              <w:sz w:val="28"/>
              <w:szCs w:val="28"/>
              <w:shd w:val="clear" w:color="auto" w:fill="auto"/>
            </w:rPr>
            <w:fldChar w:fldCharType="begin"/>
          </w:r>
          <w:r>
            <w:rPr>
              <w:rFonts w:hint="eastAsia" w:asciiTheme="minorEastAsia" w:hAnsiTheme="minorEastAsia" w:eastAsiaTheme="minorEastAsia" w:cstheme="minorEastAsia"/>
              <w:sz w:val="28"/>
              <w:szCs w:val="28"/>
              <w:shd w:val="clear" w:color="auto" w:fill="auto"/>
            </w:rPr>
            <w:instrText xml:space="preserve"> HYPERLINK \l _Toc19232 </w:instrText>
          </w:r>
          <w:r>
            <w:rPr>
              <w:rFonts w:hint="eastAsia" w:asciiTheme="minorEastAsia" w:hAnsiTheme="minorEastAsia" w:eastAsiaTheme="minorEastAsia" w:cstheme="minorEastAsia"/>
              <w:sz w:val="28"/>
              <w:szCs w:val="28"/>
              <w:shd w:val="clear" w:color="auto" w:fill="auto"/>
            </w:rPr>
            <w:fldChar w:fldCharType="separate"/>
          </w:r>
          <w:r>
            <w:rPr>
              <w:rFonts w:hint="eastAsia" w:asciiTheme="minorEastAsia" w:hAnsiTheme="minorEastAsia" w:eastAsiaTheme="minorEastAsia" w:cstheme="minorEastAsia"/>
              <w:sz w:val="28"/>
              <w:szCs w:val="28"/>
            </w:rPr>
            <w:t>一、验收小组组成</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_Toc19232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shd w:val="clear" w:color="auto" w:fill="auto"/>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_Toc7880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二、验收依据</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_Toc7880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_Toc4969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三、项目建设情况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_Toc19494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四、项目验收情况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_Toc19494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_Toc28094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五、 存在的问题及整改要求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_Toc28094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_Toc13945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六、有关情况说明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_Toc13945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_Toc24819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七、验收评价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_Toc24819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_Toc27635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附件一</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_Toc27635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_Toc8794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附件二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_Toc21731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附件三</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_Toc21731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_Toc26688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_Toc26688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_Toc26799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bCs w:val="0"/>
              <w:sz w:val="28"/>
              <w:szCs w:val="28"/>
            </w:rPr>
            <w:t>附件</w:t>
          </w:r>
          <w:r>
            <w:rPr>
              <w:rFonts w:hint="eastAsia" w:asciiTheme="minorEastAsia" w:hAnsiTheme="minorEastAsia" w:eastAsiaTheme="minorEastAsia" w:cstheme="minorEastAsia"/>
              <w:bCs w:val="0"/>
              <w:sz w:val="28"/>
              <w:szCs w:val="28"/>
              <w:lang w:eastAsia="zh-CN"/>
            </w:rPr>
            <w:t>五</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_Toc26799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pStyle w:val="12"/>
            <w:tabs>
              <w:tab w:val="right" w:leader="dot" w:pos="8620"/>
              <w:tab w:val="clear" w:pos="829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shd w:val="clear" w:color="auto" w:fill="auto"/>
              <w:lang w:val="zh-CN"/>
            </w:rPr>
            <w:fldChar w:fldCharType="begin"/>
          </w:r>
          <w:r>
            <w:rPr>
              <w:rFonts w:hint="eastAsia" w:asciiTheme="minorEastAsia" w:hAnsiTheme="minorEastAsia" w:eastAsiaTheme="minorEastAsia" w:cstheme="minorEastAsia"/>
              <w:bCs/>
              <w:sz w:val="28"/>
              <w:szCs w:val="28"/>
              <w:shd w:val="clear" w:color="auto" w:fill="auto"/>
              <w:lang w:val="zh-CN"/>
            </w:rPr>
            <w:instrText xml:space="preserve"> HYPERLINK \l _Toc17789 </w:instrText>
          </w:r>
          <w:r>
            <w:rPr>
              <w:rFonts w:hint="eastAsia" w:asciiTheme="minorEastAsia" w:hAnsiTheme="minorEastAsia" w:eastAsiaTheme="minorEastAsia" w:cstheme="minorEastAsia"/>
              <w:bCs/>
              <w:sz w:val="28"/>
              <w:szCs w:val="28"/>
              <w:shd w:val="clear" w:color="auto" w:fill="auto"/>
              <w:lang w:val="zh-CN"/>
            </w:rPr>
            <w:fldChar w:fldCharType="separate"/>
          </w:r>
          <w:r>
            <w:rPr>
              <w:rFonts w:hint="eastAsia" w:asciiTheme="minorEastAsia" w:hAnsiTheme="minorEastAsia" w:eastAsiaTheme="minorEastAsia" w:cstheme="minorEastAsia"/>
              <w:bCs w:val="0"/>
              <w:sz w:val="28"/>
              <w:szCs w:val="28"/>
            </w:rPr>
            <w:t>附件</w:t>
          </w:r>
          <w:r>
            <w:rPr>
              <w:rFonts w:hint="eastAsia" w:asciiTheme="minorEastAsia" w:hAnsiTheme="minorEastAsia" w:eastAsiaTheme="minorEastAsia" w:cstheme="minorEastAsia"/>
              <w:bCs w:val="0"/>
              <w:sz w:val="28"/>
              <w:szCs w:val="28"/>
              <w:lang w:eastAsia="zh-CN"/>
            </w:rPr>
            <w:t>六</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_Toc17789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bCs/>
              <w:sz w:val="28"/>
              <w:szCs w:val="28"/>
              <w:shd w:val="clear" w:color="auto" w:fill="auto"/>
              <w:lang w:val="zh-CN"/>
            </w:rPr>
            <w:fldChar w:fldCharType="end"/>
          </w:r>
        </w:p>
        <w:p>
          <w:pPr>
            <w:tabs>
              <w:tab w:val="center" w:pos="4434"/>
            </w:tabs>
            <w:ind w:firstLine="562"/>
            <w:rPr>
              <w:rFonts w:hint="eastAsia" w:asciiTheme="minorEastAsia" w:hAnsiTheme="minorEastAsia" w:eastAsiaTheme="minorEastAsia" w:cstheme="minorEastAsia"/>
              <w:sz w:val="28"/>
              <w:szCs w:val="28"/>
              <w:shd w:val="clear" w:color="FFFFFF" w:fill="D9D9D9"/>
            </w:rPr>
          </w:pPr>
          <w:r>
            <w:rPr>
              <w:rFonts w:hint="eastAsia" w:asciiTheme="minorEastAsia" w:hAnsiTheme="minorEastAsia" w:eastAsiaTheme="minorEastAsia" w:cstheme="minorEastAsia"/>
              <w:bCs/>
              <w:sz w:val="28"/>
              <w:szCs w:val="28"/>
              <w:shd w:val="clear" w:color="auto" w:fill="auto"/>
              <w:lang w:val="zh-CN"/>
            </w:rPr>
            <w:fldChar w:fldCharType="end"/>
          </w:r>
        </w:p>
      </w:sdtContent>
    </w:sdt>
    <w:p>
      <w:pPr>
        <w:ind w:firstLine="562"/>
        <w:jc w:val="center"/>
        <w:rPr>
          <w:rFonts w:hint="eastAsia" w:asciiTheme="minorEastAsia" w:hAnsiTheme="minorEastAsia" w:eastAsiaTheme="minorEastAsia" w:cstheme="minorEastAsia"/>
          <w:b/>
          <w:sz w:val="28"/>
          <w:szCs w:val="28"/>
        </w:rPr>
      </w:pPr>
    </w:p>
    <w:p>
      <w:pPr>
        <w:widowControl/>
        <w:ind w:firstLine="723"/>
        <w:jc w:val="left"/>
        <w:rPr>
          <w:rFonts w:hint="eastAsia" w:asciiTheme="minorEastAsia" w:hAnsiTheme="minorEastAsia" w:eastAsiaTheme="minorEastAsia" w:cstheme="minorEastAsia"/>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86" w:bottom="1440" w:left="1800" w:header="851" w:footer="850" w:gutter="0"/>
          <w:pgNumType w:fmt="numberInDash" w:start="0"/>
          <w:cols w:space="425" w:num="1"/>
          <w:titlePg/>
          <w:docGrid w:type="lines" w:linePitch="312" w:charSpace="0"/>
        </w:sectPr>
      </w:pPr>
    </w:p>
    <w:p>
      <w:pPr>
        <w:ind w:firstLine="0" w:firstLineChars="0"/>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甘肃省2017年度电信普遍服务试点建设项目</w:t>
      </w:r>
    </w:p>
    <w:p>
      <w:pPr>
        <w:ind w:firstLine="0" w:firstLineChars="0"/>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w:t>
      </w:r>
      <w:r>
        <w:rPr>
          <w:rFonts w:hint="eastAsia" w:asciiTheme="minorEastAsia" w:hAnsiTheme="minorEastAsia" w:eastAsiaTheme="minorEastAsia" w:cstheme="minorEastAsia"/>
          <w:b/>
          <w:sz w:val="36"/>
          <w:szCs w:val="36"/>
          <w:lang w:eastAsia="zh-CN"/>
        </w:rPr>
        <w:t>甘南片区2：</w:t>
      </w:r>
      <w:r>
        <w:rPr>
          <w:rFonts w:hint="eastAsia" w:asciiTheme="minorEastAsia" w:hAnsiTheme="minorEastAsia" w:eastAsiaTheme="minorEastAsia" w:cstheme="minorEastAsia"/>
          <w:b/>
          <w:sz w:val="36"/>
          <w:szCs w:val="36"/>
        </w:rPr>
        <w:t>临潭县、卓尼县、夏河县、碌曲县）</w:t>
      </w:r>
    </w:p>
    <w:p>
      <w:pPr>
        <w:ind w:firstLine="0" w:firstLineChars="0"/>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验收报告</w:t>
      </w:r>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根据《工业和信息化部办公厅关于进一步做好推进电信普遍服务试点工作的通知》（工信厅通信函</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34号）中的相关建设标准和技术要求。竣工验收结果应向社会公示，并报工业和信息化部、财政部。”的要求，受甘肃省通信管理局委托，2019年4月8日至4月11日，我公司会同甘肃省通信管理局、甘肃省财政厅、甘肃省工业和信息化厅，对甘肃省2017年度电信普遍服务试点建设项目（</w:t>
      </w:r>
      <w:r>
        <w:rPr>
          <w:rFonts w:hint="eastAsia" w:asciiTheme="minorEastAsia" w:hAnsiTheme="minorEastAsia" w:eastAsiaTheme="minorEastAsia" w:cstheme="minorEastAsia"/>
          <w:sz w:val="28"/>
          <w:szCs w:val="28"/>
          <w:lang w:eastAsia="zh-CN"/>
        </w:rPr>
        <w:t>甘南片区2：</w:t>
      </w:r>
      <w:r>
        <w:rPr>
          <w:rFonts w:hint="eastAsia" w:asciiTheme="minorEastAsia" w:hAnsiTheme="minorEastAsia" w:eastAsiaTheme="minorEastAsia" w:cstheme="minorEastAsia"/>
          <w:sz w:val="28"/>
          <w:szCs w:val="28"/>
        </w:rPr>
        <w:t>临潭县、卓尼县、夏河县、碌曲县）进行了验收。本次验收成立了验收小组，并依据相关文件精神组织完成了该项目验收工作，现报告如下：</w:t>
      </w:r>
    </w:p>
    <w:p>
      <w:pPr>
        <w:pStyle w:val="2"/>
        <w:spacing w:line="579" w:lineRule="auto"/>
        <w:ind w:firstLine="602"/>
        <w:rPr>
          <w:rFonts w:hint="eastAsia" w:asciiTheme="minorEastAsia" w:hAnsiTheme="minorEastAsia" w:eastAsiaTheme="minorEastAsia" w:cstheme="minorEastAsia"/>
          <w:sz w:val="30"/>
          <w:szCs w:val="30"/>
        </w:rPr>
      </w:pPr>
      <w:bookmarkStart w:id="0" w:name="_Toc525637063"/>
      <w:bookmarkStart w:id="1" w:name="_Toc19232"/>
      <w:r>
        <w:rPr>
          <w:rFonts w:hint="eastAsia" w:asciiTheme="minorEastAsia" w:hAnsiTheme="minorEastAsia" w:eastAsiaTheme="minorEastAsia" w:cstheme="minorEastAsia"/>
          <w:sz w:val="30"/>
          <w:szCs w:val="30"/>
        </w:rPr>
        <w:t>一、验收小组组成</w:t>
      </w:r>
      <w:bookmarkEnd w:id="0"/>
      <w:bookmarkEnd w:id="1"/>
    </w:p>
    <w:p>
      <w:pPr>
        <w:autoSpaceDE w:val="0"/>
        <w:autoSpaceDN w:val="0"/>
        <w:adjustRightInd w:val="0"/>
        <w:ind w:firstLine="700" w:firstLineChars="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验收小组由甘肃省通信管理局牵头组织甘肃省财政厅、甘肃省工业和信息化厅及相关专家组成。甘南州工信局、中国移动通信集团甘肃有限公司以及设计、施工、监理单位的代表参与了本次验收工作。</w:t>
      </w:r>
    </w:p>
    <w:p>
      <w:pPr>
        <w:pStyle w:val="2"/>
        <w:spacing w:line="579" w:lineRule="auto"/>
        <w:ind w:firstLine="602"/>
        <w:rPr>
          <w:rFonts w:hint="eastAsia" w:asciiTheme="minorEastAsia" w:hAnsiTheme="minorEastAsia" w:eastAsiaTheme="minorEastAsia" w:cstheme="minorEastAsia"/>
          <w:sz w:val="30"/>
          <w:szCs w:val="30"/>
        </w:rPr>
      </w:pPr>
      <w:bookmarkStart w:id="2" w:name="_Toc7880"/>
      <w:bookmarkStart w:id="3" w:name="_Toc525637064"/>
      <w:r>
        <w:rPr>
          <w:rFonts w:hint="eastAsia" w:asciiTheme="minorEastAsia" w:hAnsiTheme="minorEastAsia" w:eastAsiaTheme="minorEastAsia" w:cstheme="minorEastAsia"/>
          <w:sz w:val="30"/>
          <w:szCs w:val="30"/>
        </w:rPr>
        <w:t>二、验收依据</w:t>
      </w:r>
      <w:bookmarkEnd w:id="2"/>
      <w:bookmarkEnd w:id="3"/>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1）《财政部 工业和信息化部关于开展电信普遍服务试点工作的通知》（财建</w:t>
      </w:r>
      <w:r>
        <w:rPr>
          <w:rFonts w:hint="eastAsia" w:asciiTheme="minorEastAsia" w:hAnsiTheme="minorEastAsia" w:eastAsiaTheme="minorEastAsia" w:cstheme="minorEastAsia"/>
          <w:sz w:val="28"/>
          <w:szCs w:val="28"/>
          <w:lang w:eastAsia="zh-CN"/>
        </w:rPr>
        <w:t>﹝2015﹞</w:t>
      </w:r>
      <w:r>
        <w:rPr>
          <w:rFonts w:hint="eastAsia" w:asciiTheme="minorEastAsia" w:hAnsiTheme="minorEastAsia" w:eastAsiaTheme="minorEastAsia" w:cstheme="minorEastAsia"/>
          <w:sz w:val="28"/>
          <w:szCs w:val="28"/>
        </w:rPr>
        <w:t>1032号）；</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2)《工业和信息化部办公厅</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财政部办公厅关于组织实施电信普遍服务试点工作的指导意见》（工信厅联通信</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34号）；</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3）《工业和信息化部办公厅关于进一步做好推进电信普遍服务试点工作的通知》（工信厅通信函</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601号）；</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4）《工业和信息化部办公厅 财政部办公厅关于印发&lt;电信普遍服务竣工验收办法（试行）&gt;的通知》（工信厅联通信</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2017</w:t>
      </w:r>
      <w:r>
        <w:rPr>
          <w:rFonts w:hint="eastAsia" w:asciiTheme="minorEastAsia" w:hAnsiTheme="minorEastAsia" w:eastAsiaTheme="minorEastAsia" w:cstheme="minorEastAsia"/>
          <w:sz w:val="28"/>
          <w:szCs w:val="28"/>
          <w:highlight w:val="none"/>
        </w:rPr>
        <w:t>﹞99</w:t>
      </w:r>
      <w:r>
        <w:rPr>
          <w:rFonts w:hint="eastAsia" w:asciiTheme="minorEastAsia" w:hAnsiTheme="minorEastAsia" w:eastAsiaTheme="minorEastAsia" w:cstheme="minorEastAsia"/>
          <w:sz w:val="28"/>
          <w:szCs w:val="28"/>
        </w:rPr>
        <w:t>号）；</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5)《甘肃省通信管理局</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甘肃省财政厅</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甘肃省工业和信息化委员会关于印发甘肃省电信普遍服务试点建设项目竣工验收方案的通知》（甘通局函</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102号）；</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6）《宽带普遍服务质量管理系统总体要求》（YD/T3058-2016）；</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7）《宽带普遍服务专用固定客户端设备技术要求》（YD/T3059-2016）；</w:t>
      </w:r>
    </w:p>
    <w:p>
      <w:pPr>
        <w:autoSpaceDE w:val="0"/>
        <w:autoSpaceDN w:val="0"/>
        <w:adjustRightInd w:val="0"/>
        <w:ind w:firstLine="700" w:firstLineChars="25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8）《宽带速率测试方法固定宽带接入》（YD/T2400-2012）。</w:t>
      </w:r>
    </w:p>
    <w:p>
      <w:pPr>
        <w:pStyle w:val="2"/>
        <w:spacing w:line="579" w:lineRule="auto"/>
        <w:ind w:firstLine="602"/>
        <w:rPr>
          <w:rFonts w:hint="eastAsia" w:asciiTheme="minorEastAsia" w:hAnsiTheme="minorEastAsia" w:eastAsiaTheme="minorEastAsia" w:cstheme="minorEastAsia"/>
          <w:sz w:val="30"/>
          <w:szCs w:val="30"/>
        </w:rPr>
      </w:pPr>
      <w:bookmarkStart w:id="4" w:name="_Toc4969"/>
      <w:bookmarkStart w:id="5" w:name="_Toc525637065"/>
      <w:r>
        <w:rPr>
          <w:rFonts w:hint="eastAsia" w:asciiTheme="minorEastAsia" w:hAnsiTheme="minorEastAsia" w:eastAsiaTheme="minorEastAsia" w:cstheme="minorEastAsia"/>
          <w:sz w:val="30"/>
          <w:szCs w:val="30"/>
        </w:rPr>
        <w:t>三、项目建设情况</w:t>
      </w:r>
      <w:bookmarkEnd w:id="4"/>
      <w:bookmarkEnd w:id="5"/>
    </w:p>
    <w:p>
      <w:pPr>
        <w:autoSpaceDE w:val="0"/>
        <w:autoSpaceDN w:val="0"/>
        <w:adjustRightInd w:val="0"/>
        <w:ind w:firstLine="711" w:firstLineChars="253"/>
        <w:jc w:val="left"/>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b/>
          <w:sz w:val="28"/>
          <w:szCs w:val="28"/>
        </w:rPr>
        <w:t>建设内容：</w:t>
      </w:r>
      <w:r>
        <w:rPr>
          <w:rFonts w:hint="eastAsia" w:asciiTheme="minorEastAsia" w:hAnsiTheme="minorEastAsia" w:eastAsiaTheme="minorEastAsia" w:cstheme="minorEastAsia"/>
          <w:sz w:val="28"/>
          <w:szCs w:val="28"/>
        </w:rPr>
        <w:t>本项目覆盖甘南州临潭县、卓尼县、夏河县、碌曲县共3</w:t>
      </w:r>
      <w:r>
        <w:rPr>
          <w:rFonts w:hint="eastAsia" w:asciiTheme="minorEastAsia" w:hAnsiTheme="minorEastAsia" w:eastAsiaTheme="minorEastAsia" w:cstheme="minorEastAsia"/>
          <w:sz w:val="28"/>
          <w:szCs w:val="28"/>
          <w:lang w:val="en-US" w:eastAsia="zh-CN"/>
        </w:rPr>
        <w:t>19</w:t>
      </w:r>
      <w:r>
        <w:rPr>
          <w:rFonts w:hint="eastAsia" w:asciiTheme="minorEastAsia" w:hAnsiTheme="minorEastAsia" w:eastAsiaTheme="minorEastAsia" w:cstheme="minorEastAsia"/>
          <w:sz w:val="28"/>
          <w:szCs w:val="28"/>
        </w:rPr>
        <w:t>个行政村，</w:t>
      </w:r>
      <w:r>
        <w:rPr>
          <w:rFonts w:hint="eastAsia" w:asciiTheme="minorEastAsia" w:hAnsiTheme="minorEastAsia" w:eastAsiaTheme="minorEastAsia" w:cstheme="minorEastAsia"/>
          <w:sz w:val="28"/>
          <w:szCs w:val="28"/>
          <w:lang w:eastAsia="zh-CN"/>
        </w:rPr>
        <w:t>因</w:t>
      </w:r>
      <w:r>
        <w:rPr>
          <w:rFonts w:hint="eastAsia" w:asciiTheme="minorEastAsia" w:hAnsiTheme="minorEastAsia" w:eastAsiaTheme="minorEastAsia" w:cstheme="minorEastAsia"/>
          <w:sz w:val="28"/>
          <w:szCs w:val="28"/>
        </w:rPr>
        <w:t>我省近年来大力实施下山入川、异地扶贫搬迁及行政村撤并，导致甘南州片区2的16个行政村因无法建设而调减，</w:t>
      </w:r>
      <w:r>
        <w:rPr>
          <w:rFonts w:hint="eastAsia" w:asciiTheme="minorEastAsia" w:hAnsiTheme="minorEastAsia" w:eastAsiaTheme="minorEastAsia" w:cstheme="minorEastAsia"/>
          <w:sz w:val="28"/>
          <w:szCs w:val="28"/>
          <w:lang w:eastAsia="zh-CN"/>
        </w:rPr>
        <w:t>最终建设行政村</w:t>
      </w:r>
      <w:r>
        <w:rPr>
          <w:rFonts w:hint="eastAsia" w:asciiTheme="minorEastAsia" w:hAnsiTheme="minorEastAsia" w:eastAsiaTheme="minorEastAsia" w:cstheme="minorEastAsia"/>
          <w:sz w:val="28"/>
          <w:szCs w:val="28"/>
          <w:lang w:val="en-US" w:eastAsia="zh-CN"/>
        </w:rPr>
        <w:t>303个，</w:t>
      </w:r>
      <w:r>
        <w:rPr>
          <w:rFonts w:hint="eastAsia" w:asciiTheme="minorEastAsia" w:hAnsiTheme="minorEastAsia" w:eastAsiaTheme="minorEastAsia" w:cstheme="minorEastAsia"/>
          <w:sz w:val="28"/>
          <w:szCs w:val="28"/>
        </w:rPr>
        <w:t>其中临潭县未通村60个，卓尼县未通村63个，夏河县未通村53个，碌曲县未通村10个，覆盖用户数5.15万户。新建杆路945公里,共敷设光</w:t>
      </w:r>
      <w:r>
        <w:rPr>
          <w:rFonts w:hint="eastAsia" w:asciiTheme="minorEastAsia" w:hAnsiTheme="minorEastAsia" w:eastAsiaTheme="minorEastAsia" w:cstheme="minorEastAsia"/>
          <w:sz w:val="28"/>
          <w:szCs w:val="28"/>
          <w:highlight w:val="none"/>
        </w:rPr>
        <w:t>缆</w:t>
      </w:r>
      <w:r>
        <w:rPr>
          <w:rFonts w:hint="eastAsia" w:asciiTheme="minorEastAsia" w:hAnsiTheme="minorEastAsia" w:eastAsiaTheme="minorEastAsia" w:cstheme="minorEastAsia"/>
          <w:sz w:val="28"/>
          <w:szCs w:val="28"/>
          <w:highlight w:val="none"/>
          <w:lang w:val="en-US" w:eastAsia="zh-CN"/>
        </w:rPr>
        <w:t>1007</w:t>
      </w:r>
      <w:r>
        <w:rPr>
          <w:rFonts w:hint="eastAsia" w:asciiTheme="minorEastAsia" w:hAnsiTheme="minorEastAsia" w:eastAsiaTheme="minorEastAsia" w:cstheme="minorEastAsia"/>
          <w:sz w:val="28"/>
          <w:szCs w:val="28"/>
          <w:highlight w:val="none"/>
        </w:rPr>
        <w:t>公里</w:t>
      </w:r>
      <w:r>
        <w:rPr>
          <w:rFonts w:hint="eastAsia" w:asciiTheme="minorEastAsia" w:hAnsiTheme="minorEastAsia" w:eastAsiaTheme="minorEastAsia" w:cstheme="minorEastAsia"/>
          <w:sz w:val="28"/>
          <w:szCs w:val="28"/>
        </w:rPr>
        <w:t>,安装一级分纤箱270个，二级分纤箱2117个，建设光网端口16936个，累计安装专用客户端909台，每个行政村至少安装1台以上，试点项目已建设区域中的所有行政村全部具备光纤接入能力。</w:t>
      </w:r>
    </w:p>
    <w:p>
      <w:pPr>
        <w:autoSpaceDE w:val="0"/>
        <w:autoSpaceDN w:val="0"/>
        <w:adjustRightInd w:val="0"/>
        <w:ind w:firstLine="562"/>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建设单位</w:t>
      </w:r>
      <w:r>
        <w:rPr>
          <w:rFonts w:hint="eastAsia" w:asciiTheme="minorEastAsia" w:hAnsiTheme="minorEastAsia" w:eastAsiaTheme="minorEastAsia" w:cstheme="minorEastAsia"/>
          <w:sz w:val="28"/>
          <w:szCs w:val="28"/>
        </w:rPr>
        <w:t>（中标企业）</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sz w:val="28"/>
          <w:szCs w:val="28"/>
        </w:rPr>
        <w:t>中国移动通信集团甘肃有限公司</w:t>
      </w:r>
    </w:p>
    <w:p>
      <w:pPr>
        <w:autoSpaceDE w:val="0"/>
        <w:autoSpaceDN w:val="0"/>
        <w:adjustRightInd w:val="0"/>
        <w:ind w:firstLine="562"/>
        <w:jc w:val="lef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设计单位：</w:t>
      </w:r>
      <w:r>
        <w:rPr>
          <w:rFonts w:hint="eastAsia" w:asciiTheme="minorEastAsia" w:hAnsiTheme="minorEastAsia" w:eastAsiaTheme="minorEastAsia" w:cstheme="minorEastAsia"/>
          <w:sz w:val="28"/>
          <w:szCs w:val="28"/>
        </w:rPr>
        <w:t>中国通信建设集团设计院有限公司</w:t>
      </w:r>
    </w:p>
    <w:p>
      <w:pPr>
        <w:autoSpaceDE w:val="0"/>
        <w:autoSpaceDN w:val="0"/>
        <w:adjustRightInd w:val="0"/>
        <w:ind w:firstLine="562"/>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施工单位：</w:t>
      </w:r>
      <w:r>
        <w:rPr>
          <w:rFonts w:hint="eastAsia" w:asciiTheme="minorEastAsia" w:hAnsiTheme="minorEastAsia" w:eastAsiaTheme="minorEastAsia" w:cstheme="minorEastAsia"/>
          <w:sz w:val="28"/>
          <w:szCs w:val="28"/>
        </w:rPr>
        <w:t>中建泓泰通信工程有限公司</w:t>
      </w:r>
    </w:p>
    <w:p>
      <w:pPr>
        <w:autoSpaceDE w:val="0"/>
        <w:autoSpaceDN w:val="0"/>
        <w:adjustRightInd w:val="0"/>
        <w:ind w:firstLine="1960" w:firstLineChars="7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山东省邮电工程有限公司</w:t>
      </w:r>
    </w:p>
    <w:p>
      <w:pPr>
        <w:autoSpaceDE w:val="0"/>
        <w:autoSpaceDN w:val="0"/>
        <w:adjustRightInd w:val="0"/>
        <w:ind w:firstLine="1960" w:firstLineChars="7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中国通信建设第五工程局有限公司</w:t>
      </w:r>
    </w:p>
    <w:p>
      <w:pPr>
        <w:autoSpaceDE w:val="0"/>
        <w:autoSpaceDN w:val="0"/>
        <w:adjustRightInd w:val="0"/>
        <w:ind w:firstLine="1960" w:firstLineChars="7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浙江省邮电工程建设有限公司</w:t>
      </w:r>
    </w:p>
    <w:p>
      <w:pPr>
        <w:autoSpaceDE w:val="0"/>
        <w:autoSpaceDN w:val="0"/>
        <w:adjustRightInd w:val="0"/>
        <w:ind w:firstLine="1960" w:firstLineChars="7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河北省通信建设有限公司</w:t>
      </w:r>
    </w:p>
    <w:p>
      <w:pPr>
        <w:autoSpaceDE w:val="0"/>
        <w:autoSpaceDN w:val="0"/>
        <w:adjustRightInd w:val="0"/>
        <w:ind w:firstLine="562"/>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监理单位：</w:t>
      </w:r>
      <w:r>
        <w:rPr>
          <w:rFonts w:hint="eastAsia" w:asciiTheme="minorEastAsia" w:hAnsiTheme="minorEastAsia" w:eastAsiaTheme="minorEastAsia" w:cstheme="minorEastAsia"/>
          <w:sz w:val="28"/>
          <w:szCs w:val="28"/>
        </w:rPr>
        <w:t>公诚管理咨询有限公司</w:t>
      </w:r>
    </w:p>
    <w:p>
      <w:pPr>
        <w:autoSpaceDE w:val="0"/>
        <w:autoSpaceDN w:val="0"/>
        <w:adjustRightInd w:val="0"/>
        <w:ind w:firstLine="551" w:firstLineChars="196"/>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建设周期：</w:t>
      </w:r>
      <w:r>
        <w:rPr>
          <w:rFonts w:hint="eastAsia" w:asciiTheme="minorEastAsia" w:hAnsiTheme="minorEastAsia" w:eastAsiaTheme="minorEastAsia" w:cstheme="minorEastAsia"/>
          <w:color w:val="000000" w:themeColor="text1"/>
          <w:sz w:val="28"/>
          <w:szCs w:val="28"/>
          <w:shd w:val="clear" w:color="auto" w:fill="FFFFFF" w:themeFill="background1"/>
          <w14:textFill>
            <w14:solidFill>
              <w14:schemeClr w14:val="tx1"/>
            </w14:solidFill>
          </w14:textFill>
        </w:rPr>
        <w:t>项目于2017年10月开工，2018年11月竣工，2018年11月完成企业自查验收,2018年12月州政府完成初验。</w:t>
      </w:r>
    </w:p>
    <w:p>
      <w:pPr>
        <w:pStyle w:val="2"/>
        <w:spacing w:line="579" w:lineRule="auto"/>
        <w:ind w:firstLine="602"/>
        <w:rPr>
          <w:rFonts w:hint="eastAsia" w:asciiTheme="minorEastAsia" w:hAnsiTheme="minorEastAsia" w:eastAsiaTheme="minorEastAsia" w:cstheme="minorEastAsia"/>
          <w:sz w:val="30"/>
          <w:szCs w:val="30"/>
        </w:rPr>
      </w:pPr>
      <w:bookmarkStart w:id="6" w:name="_Toc19494"/>
      <w:bookmarkStart w:id="7" w:name="_Toc525637066"/>
      <w:r>
        <w:rPr>
          <w:rFonts w:hint="eastAsia" w:asciiTheme="minorEastAsia" w:hAnsiTheme="minorEastAsia" w:eastAsiaTheme="minorEastAsia" w:cstheme="minorEastAsia"/>
          <w:sz w:val="30"/>
          <w:szCs w:val="30"/>
        </w:rPr>
        <w:t>四、项目验收情况</w:t>
      </w:r>
      <w:bookmarkEnd w:id="6"/>
      <w:bookmarkEnd w:id="7"/>
    </w:p>
    <w:p>
      <w:pPr>
        <w:spacing w:line="24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根据工信部、财政部相关会议和文件精神以及《甘肃省电信普遍服务试点建设项目竣工验收方案》（甘通局函</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102号），在建设单位（中标企业）自查验收和甘南州政府初验的基础上，验收小组开展了终验工作。本次验收工作分为竣工文档验收、实地抽查和技术验收，验收工作从技术文档、电气性能、施工工艺质量三个方面展开。抽查验收甘南州4个县区17个行政村，其中临潭县6个、卓尼县5个、夏河县4个、碌曲县2个；总体抽查率为5.61%，满足《甘肃省电信普遍服务试点建设项目竣工验收方案》（甘通局函</w:t>
      </w:r>
      <w:r>
        <w:rPr>
          <w:rFonts w:hint="eastAsia" w:asciiTheme="minorEastAsia" w:hAnsiTheme="minorEastAsia" w:eastAsiaTheme="minorEastAsia" w:cstheme="minorEastAsia"/>
          <w:sz w:val="28"/>
          <w:szCs w:val="28"/>
          <w:lang w:eastAsia="zh-CN"/>
        </w:rPr>
        <w:t>﹝2016﹞</w:t>
      </w:r>
      <w:r>
        <w:rPr>
          <w:rFonts w:hint="eastAsia" w:asciiTheme="minorEastAsia" w:hAnsiTheme="minorEastAsia" w:eastAsiaTheme="minorEastAsia" w:cstheme="minorEastAsia"/>
          <w:sz w:val="28"/>
          <w:szCs w:val="28"/>
        </w:rPr>
        <w:t>102号）提出的不少于5%的抽查要求,抽查行政村名单详见附件一。</w:t>
      </w:r>
    </w:p>
    <w:p>
      <w:pPr>
        <w:autoSpaceDE w:val="0"/>
        <w:autoSpaceDN w:val="0"/>
        <w:adjustRightInd w:val="0"/>
        <w:ind w:firstLine="56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1</w:t>
      </w:r>
      <w:r>
        <w:rPr>
          <w:rFonts w:hint="eastAsia" w:asciiTheme="minorEastAsia" w:hAnsiTheme="minorEastAsia" w:eastAsiaTheme="minorEastAsia" w:cstheme="minorEastAsia"/>
          <w:b/>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sz w:val="28"/>
          <w:szCs w:val="28"/>
        </w:rPr>
        <w:t>竣工文档验收情况</w:t>
      </w:r>
    </w:p>
    <w:p>
      <w:pPr>
        <w:autoSpaceDE w:val="0"/>
        <w:autoSpaceDN w:val="0"/>
        <w:adjustRightInd w:val="0"/>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验收小组对中标企业提交的甘肃省2017年度电信普遍服务试点建设项目（</w:t>
      </w:r>
      <w:r>
        <w:rPr>
          <w:rFonts w:hint="eastAsia" w:asciiTheme="minorEastAsia" w:hAnsiTheme="minorEastAsia" w:eastAsiaTheme="minorEastAsia" w:cstheme="minorEastAsia"/>
          <w:sz w:val="28"/>
          <w:szCs w:val="28"/>
          <w:lang w:eastAsia="zh-CN"/>
        </w:rPr>
        <w:t>甘南片区2：</w:t>
      </w:r>
      <w:r>
        <w:rPr>
          <w:rFonts w:hint="eastAsia" w:asciiTheme="minorEastAsia" w:hAnsiTheme="minorEastAsia" w:eastAsiaTheme="minorEastAsia" w:cstheme="minorEastAsia"/>
          <w:sz w:val="28"/>
          <w:szCs w:val="28"/>
        </w:rPr>
        <w:t>临潭县、卓尼县、夏河县、碌曲县）的工程建设文档进行逐一检查，包括市政府与中标企业签订的协议、设计文件、竣工文件、监理文档等。经审查，项目设计文件中的行政村数量与批复文件、竣工文件中的数量一致；竣工文件中管理资料、技术资料完整齐全，相关手续合规；监理文件符合归档要求。设计文件、竣工技术资料及图纸和监理文档等工程建设资料与现场实际情况进行了核对，资料数据真实准确。验收小组意见一致，竣工文档验收通过。</w:t>
      </w:r>
    </w:p>
    <w:p>
      <w:pPr>
        <w:ind w:firstLine="562"/>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2.实地抽查验收及技术验收情况</w:t>
      </w:r>
    </w:p>
    <w:p>
      <w:pPr>
        <w:ind w:firstLine="700" w:firstLineChars="250"/>
        <w:jc w:val="left"/>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对17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p>
    <w:p>
      <w:pPr>
        <w:ind w:firstLine="551" w:firstLineChars="196"/>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光纤衰减测试：</w:t>
      </w:r>
      <w:r>
        <w:rPr>
          <w:rFonts w:hint="eastAsia" w:asciiTheme="minorEastAsia" w:hAnsiTheme="minorEastAsia" w:eastAsiaTheme="minorEastAsia" w:cstheme="minorEastAsia"/>
          <w:color w:val="000000" w:themeColor="text1"/>
          <w:sz w:val="28"/>
          <w:szCs w:val="28"/>
          <w14:textFill>
            <w14:solidFill>
              <w14:schemeClr w14:val="tx1"/>
            </w14:solidFill>
          </w14:textFill>
        </w:rPr>
        <w:t>对17个行政村的二级光分纤箱收光功率采用光功率计（伟峰FHP2A04）测试，收光功率均大于-23dBm；光纤接头的双向平均损耗通过光时域反射仪（OTDR）测试，衰耗值在0.08dB以下，光纤衰减测试曲线未出现明显台阶,抽测指标符合设计要求。</w:t>
      </w:r>
    </w:p>
    <w:p>
      <w:pPr>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覆盖情况：</w:t>
      </w:r>
      <w:r>
        <w:rPr>
          <w:rFonts w:hint="eastAsia" w:asciiTheme="minorEastAsia" w:hAnsiTheme="minorEastAsia" w:eastAsiaTheme="minorEastAsia" w:cstheme="minorEastAsia"/>
          <w:color w:val="000000" w:themeColor="text1"/>
          <w:sz w:val="28"/>
          <w:szCs w:val="28"/>
          <w14:textFill>
            <w14:solidFill>
              <w14:schemeClr w14:val="tx1"/>
            </w14:solidFill>
          </w14:textFill>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﹝2016﹞</w:t>
      </w:r>
      <w:r>
        <w:rPr>
          <w:rFonts w:hint="eastAsia" w:asciiTheme="minorEastAsia" w:hAnsiTheme="minorEastAsia" w:eastAsiaTheme="minorEastAsia" w:cstheme="minorEastAsia"/>
          <w:color w:val="000000" w:themeColor="text1"/>
          <w:sz w:val="28"/>
          <w:szCs w:val="28"/>
          <w14:textFill>
            <w14:solidFill>
              <w14:schemeClr w14:val="tx1"/>
            </w14:solidFill>
          </w14:textFill>
        </w:rPr>
        <w:t>34号）中提出的“接入能力不低于12Mbps”的要求，</w:t>
      </w:r>
      <w:r>
        <w:rPr>
          <w:rFonts w:hint="eastAsia" w:asciiTheme="minorEastAsia" w:hAnsiTheme="minorEastAsia" w:eastAsiaTheme="minorEastAsia" w:cstheme="minorEastAsia"/>
          <w:sz w:val="28"/>
          <w:szCs w:val="28"/>
        </w:rPr>
        <w:t>中国移动通信集团甘肃有限公司</w:t>
      </w:r>
      <w:r>
        <w:rPr>
          <w:rFonts w:hint="eastAsia" w:asciiTheme="minorEastAsia" w:hAnsiTheme="minorEastAsia" w:eastAsiaTheme="minorEastAsia" w:cstheme="minorEastAsia"/>
          <w:color w:val="000000" w:themeColor="text1"/>
          <w:sz w:val="28"/>
          <w:szCs w:val="28"/>
          <w14:textFill>
            <w14:solidFill>
              <w14:schemeClr w14:val="tx1"/>
            </w14:solidFill>
          </w14:textFill>
        </w:rPr>
        <w:t>已在普遍服务试点地区实施了专属资费，且专属资费标准低于当地平均资费水平。</w:t>
      </w:r>
    </w:p>
    <w:p>
      <w:pPr>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纤芯预留：</w:t>
      </w:r>
      <w:r>
        <w:rPr>
          <w:rFonts w:hint="eastAsia" w:asciiTheme="minorEastAsia" w:hAnsiTheme="minorEastAsia" w:eastAsiaTheme="minorEastAsia" w:cstheme="minorEastAsia"/>
          <w:color w:val="000000" w:themeColor="text1"/>
          <w:sz w:val="28"/>
          <w:szCs w:val="28"/>
          <w14:textFill>
            <w14:solidFill>
              <w14:schemeClr w14:val="tx1"/>
            </w14:solidFill>
          </w14:textFill>
        </w:rPr>
        <w:t>17个行政村均已预留4芯光纤作为共享纤芯，达到《工业和信息化部办公厅 财政部办公厅关于组织实施电信普遍服务试点工作的指导意见》（工信厅联通信</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﹝2016﹞</w:t>
      </w:r>
      <w:r>
        <w:rPr>
          <w:rFonts w:hint="eastAsia" w:asciiTheme="minorEastAsia" w:hAnsiTheme="minorEastAsia" w:eastAsiaTheme="minorEastAsia" w:cstheme="minorEastAsia"/>
          <w:color w:val="000000" w:themeColor="text1"/>
          <w:sz w:val="28"/>
          <w:szCs w:val="28"/>
          <w14:textFill>
            <w14:solidFill>
              <w14:schemeClr w14:val="tx1"/>
            </w14:solidFill>
          </w14:textFill>
        </w:rPr>
        <w:t>34号）中提出的“试点任务应满足共建共享相关要求，新建的至村光缆必须预留4芯共享纤芯</w:t>
      </w:r>
      <w:r>
        <w:rPr>
          <w:rFonts w:hint="eastAsia" w:asciiTheme="minorEastAsia" w:hAnsiTheme="minorEastAsia" w:eastAsiaTheme="minorEastAsia" w:cstheme="minorEastAsia"/>
          <w:color w:val="000000" w:themeColor="text1"/>
          <w:kern w:val="0"/>
          <w:sz w:val="30"/>
          <w:szCs w:val="30"/>
          <w14:textFill>
            <w14:solidFill>
              <w14:schemeClr w14:val="tx1"/>
            </w14:solidFill>
          </w14:textFill>
        </w:rPr>
        <w:t>”的要求，且</w:t>
      </w:r>
      <w:r>
        <w:rPr>
          <w:rFonts w:hint="eastAsia" w:asciiTheme="minorEastAsia" w:hAnsiTheme="minorEastAsia" w:eastAsiaTheme="minorEastAsia" w:cstheme="minorEastAsia"/>
          <w:color w:val="000000" w:themeColor="text1"/>
          <w:sz w:val="28"/>
          <w:szCs w:val="28"/>
          <w14:textFill>
            <w14:solidFill>
              <w14:schemeClr w14:val="tx1"/>
            </w14:solidFill>
          </w14:textFill>
        </w:rPr>
        <w:t>一级分纤箱内备用纤芯标签粘贴醒目。</w:t>
      </w:r>
    </w:p>
    <w:p>
      <w:pPr>
        <w:ind w:firstLine="700" w:firstLineChars="25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验收小组通过实地抽查及技术验收，一致认为17个行政村验收指标满足《甘肃省电信普遍服务试点建设项目竣工验收方案》（甘通局函</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﹝2016﹞</w:t>
      </w:r>
      <w:r>
        <w:rPr>
          <w:rFonts w:hint="eastAsia" w:asciiTheme="minorEastAsia" w:hAnsiTheme="minorEastAsia" w:eastAsiaTheme="minorEastAsia" w:cstheme="minorEastAsia"/>
          <w:color w:val="000000" w:themeColor="text1"/>
          <w:sz w:val="28"/>
          <w:szCs w:val="28"/>
          <w14:textFill>
            <w14:solidFill>
              <w14:schemeClr w14:val="tx1"/>
            </w14:solidFill>
          </w14:textFill>
        </w:rPr>
        <w:t>102号）、《宽带普遍服务质量管理系统总体要求》、《宽带普遍服务专用固定客户端设备技术要求》、《宽带速率测试方法固定宽带接入》（YD/T2400-2012）标准要求，满足维护要求，未发现重大质量、安全隐患。</w:t>
      </w:r>
    </w:p>
    <w:p>
      <w:pPr>
        <w:pStyle w:val="2"/>
        <w:numPr>
          <w:ilvl w:val="0"/>
          <w:numId w:val="1"/>
        </w:numPr>
        <w:spacing w:line="579" w:lineRule="auto"/>
        <w:ind w:left="0" w:firstLine="602"/>
        <w:rPr>
          <w:rFonts w:hint="eastAsia" w:asciiTheme="minorEastAsia" w:hAnsiTheme="minorEastAsia" w:eastAsiaTheme="minorEastAsia" w:cstheme="minorEastAsia"/>
          <w:sz w:val="30"/>
          <w:szCs w:val="30"/>
        </w:rPr>
      </w:pPr>
      <w:bookmarkStart w:id="8" w:name="_Toc525637067"/>
      <w:bookmarkStart w:id="9" w:name="_Toc28094"/>
      <w:r>
        <w:rPr>
          <w:rFonts w:hint="eastAsia" w:asciiTheme="minorEastAsia" w:hAnsiTheme="minorEastAsia" w:eastAsiaTheme="minorEastAsia" w:cstheme="minorEastAsia"/>
          <w:sz w:val="30"/>
          <w:szCs w:val="30"/>
        </w:rPr>
        <w:t>存在的问题及整改要求</w:t>
      </w:r>
      <w:bookmarkEnd w:id="8"/>
      <w:bookmarkEnd w:id="9"/>
    </w:p>
    <w:p>
      <w:pPr>
        <w:spacing w:line="240" w:lineRule="auto"/>
        <w:ind w:firstLine="560"/>
        <w:jc w:val="left"/>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0" w:name="_Toc486230301"/>
      <w:r>
        <w:rPr>
          <w:rFonts w:hint="eastAsia" w:asciiTheme="minorEastAsia" w:hAnsiTheme="minorEastAsia" w:eastAsiaTheme="minorEastAsia" w:cstheme="minorEastAsia"/>
          <w:color w:val="000000" w:themeColor="text1"/>
          <w:sz w:val="28"/>
          <w:szCs w:val="28"/>
          <w14:textFill>
            <w14:solidFill>
              <w14:schemeClr w14:val="tx1"/>
            </w14:solidFill>
          </w14:textFill>
        </w:rPr>
        <w:t>此次验收出现的问题是：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临潭县长川乡塔那村P001-P002杆距实测距离为54米，设计、竣工图纸标注为40米，标注与现场测量数量偏差为14米。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2.卓尼县完冒乡俄化村光缆线路与电力线交越，两边木杆未作吊线保护接地。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3.夏河县甘加乡作海村P018杆保护地线制作不规范。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4.施工单位的施工组织设计审批签字不符合编审程序要求。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sz w:val="28"/>
          <w:szCs w:val="28"/>
        </w:rPr>
        <w:t>5.设计单位的设计图纸中跨路、过电力线交越没有明确标注，设计深度不够。</w:t>
      </w:r>
    </w:p>
    <w:p>
      <w:pPr>
        <w:ind w:firstLine="56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以上问题验收小组要求州政府督促建设单位（中标企业）进行整改。整改工作在验收报告下发后一个月内完成，并由州政府以书面形式上报省通信管理局、省财政厅、省工信厅。</w:t>
      </w:r>
    </w:p>
    <w:p>
      <w:pPr>
        <w:pStyle w:val="2"/>
        <w:spacing w:line="579" w:lineRule="auto"/>
        <w:ind w:firstLine="602"/>
        <w:rPr>
          <w:rFonts w:hint="eastAsia" w:asciiTheme="minorEastAsia" w:hAnsiTheme="minorEastAsia" w:eastAsiaTheme="minorEastAsia" w:cstheme="minorEastAsia"/>
          <w:sz w:val="30"/>
          <w:szCs w:val="30"/>
        </w:rPr>
      </w:pPr>
      <w:bookmarkStart w:id="11" w:name="_Toc13945"/>
      <w:r>
        <w:rPr>
          <w:rFonts w:hint="eastAsia" w:asciiTheme="minorEastAsia" w:hAnsiTheme="minorEastAsia" w:eastAsiaTheme="minorEastAsia" w:cstheme="minorEastAsia"/>
          <w:sz w:val="30"/>
          <w:szCs w:val="30"/>
        </w:rPr>
        <w:t>六、有关情况说明</w:t>
      </w:r>
      <w:bookmarkEnd w:id="11"/>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在电信普遍服务试点过程中，由于我省近年来大力实施下山入川、异地扶贫搬迁及行政村撤并，导致甘南片区2的16个行政村</w:t>
      </w:r>
      <w:r>
        <w:rPr>
          <w:rFonts w:hint="eastAsia" w:asciiTheme="minorEastAsia" w:hAnsiTheme="minorEastAsia" w:eastAsiaTheme="minorEastAsia" w:cstheme="minorEastAsia"/>
          <w:sz w:val="28"/>
          <w:szCs w:val="28"/>
          <w:lang w:eastAsia="zh-CN"/>
        </w:rPr>
        <w:t>因</w:t>
      </w:r>
      <w:r>
        <w:rPr>
          <w:rFonts w:hint="eastAsia" w:asciiTheme="minorEastAsia" w:hAnsiTheme="minorEastAsia" w:eastAsiaTheme="minorEastAsia" w:cstheme="minorEastAsia"/>
          <w:sz w:val="28"/>
          <w:szCs w:val="28"/>
        </w:rPr>
        <w:t>无法建设而调减，已于2018年11月9日以《甘肃省通信管理局关于报备电信普遍服务试点行政村调整情况的报告》（甘通局发</w:t>
      </w:r>
      <w:r>
        <w:rPr>
          <w:rFonts w:hint="eastAsia" w:asciiTheme="minorEastAsia" w:hAnsiTheme="minorEastAsia" w:eastAsiaTheme="minorEastAsia" w:cstheme="minorEastAsia"/>
          <w:sz w:val="28"/>
          <w:szCs w:val="28"/>
          <w:lang w:eastAsia="zh-CN"/>
        </w:rPr>
        <w:t>﹝2018﹞</w:t>
      </w:r>
      <w:r>
        <w:rPr>
          <w:rFonts w:hint="eastAsia" w:asciiTheme="minorEastAsia" w:hAnsiTheme="minorEastAsia" w:eastAsiaTheme="minorEastAsia" w:cstheme="minorEastAsia"/>
          <w:sz w:val="28"/>
          <w:szCs w:val="28"/>
        </w:rPr>
        <w:t>101号）报工信部，具体名单详见附件2.</w:t>
      </w:r>
    </w:p>
    <w:p>
      <w:pPr>
        <w:pStyle w:val="2"/>
        <w:spacing w:line="579" w:lineRule="auto"/>
        <w:ind w:firstLine="602"/>
        <w:rPr>
          <w:rFonts w:hint="eastAsia" w:asciiTheme="minorEastAsia" w:hAnsiTheme="minorEastAsia" w:eastAsiaTheme="minorEastAsia" w:cstheme="minorEastAsia"/>
          <w:sz w:val="30"/>
          <w:szCs w:val="30"/>
        </w:rPr>
      </w:pPr>
      <w:bookmarkStart w:id="12" w:name="_Toc24819"/>
      <w:bookmarkStart w:id="13" w:name="_Toc525637068"/>
      <w:r>
        <w:rPr>
          <w:rFonts w:hint="eastAsia" w:asciiTheme="minorEastAsia" w:hAnsiTheme="minorEastAsia" w:eastAsiaTheme="minorEastAsia" w:cstheme="minorEastAsia"/>
          <w:sz w:val="30"/>
          <w:szCs w:val="30"/>
        </w:rPr>
        <w:t>七、验收评价</w:t>
      </w:r>
      <w:bookmarkEnd w:id="10"/>
      <w:bookmarkEnd w:id="12"/>
      <w:bookmarkEnd w:id="13"/>
    </w:p>
    <w:p>
      <w:pPr>
        <w:ind w:firstLine="700" w:firstLineChars="2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通过竣工文档验收、技术验收加实地抽查，并综合施工工艺质量、电气性能测试、技术文档的检查结论，验收小组一致认为：甘肃省2017年度电信普遍服务试点建设项目（</w:t>
      </w:r>
      <w:r>
        <w:rPr>
          <w:rFonts w:hint="eastAsia" w:asciiTheme="minorEastAsia" w:hAnsiTheme="minorEastAsia" w:eastAsiaTheme="minorEastAsia" w:cstheme="minorEastAsia"/>
          <w:sz w:val="28"/>
          <w:szCs w:val="28"/>
          <w:lang w:eastAsia="zh-CN"/>
        </w:rPr>
        <w:t>甘南片区2：</w:t>
      </w:r>
      <w:r>
        <w:rPr>
          <w:rFonts w:hint="eastAsia" w:asciiTheme="minorEastAsia" w:hAnsiTheme="minorEastAsia" w:eastAsiaTheme="minorEastAsia" w:cstheme="minorEastAsia"/>
          <w:sz w:val="28"/>
          <w:szCs w:val="28"/>
        </w:rPr>
        <w:t>临潭县、卓尼县、夏河县、碌曲县）已完成了建设任务，各项测试指标满足建设要求，本项目验收合格，项目总体评价为</w:t>
      </w:r>
      <w:r>
        <w:rPr>
          <w:rFonts w:hint="eastAsia" w:asciiTheme="minorEastAsia" w:hAnsiTheme="minorEastAsia" w:eastAsiaTheme="minorEastAsia" w:cstheme="minorEastAsia"/>
          <w:color w:val="000000" w:themeColor="text1"/>
          <w:sz w:val="28"/>
          <w:szCs w:val="28"/>
          <w14:textFill>
            <w14:solidFill>
              <w14:schemeClr w14:val="tx1"/>
            </w14:solidFill>
          </w14:textFill>
        </w:rPr>
        <w:t>“合格”。</w:t>
      </w:r>
    </w:p>
    <w:p>
      <w:pPr>
        <w:ind w:firstLine="700" w:firstLineChars="250"/>
        <w:rPr>
          <w:rFonts w:hint="eastAsia" w:asciiTheme="minorEastAsia" w:hAnsiTheme="minorEastAsia" w:eastAsiaTheme="minorEastAsia" w:cstheme="minorEastAsia"/>
          <w:sz w:val="28"/>
          <w:szCs w:val="28"/>
        </w:rPr>
      </w:pPr>
    </w:p>
    <w:p>
      <w:pPr>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附件：1.电信普遍服务试点项目实地抽查情况表</w:t>
      </w:r>
    </w:p>
    <w:p>
      <w:pPr>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2.调减行政村名单</w:t>
      </w:r>
    </w:p>
    <w:p>
      <w:pPr>
        <w:tabs>
          <w:tab w:val="left" w:pos="312"/>
        </w:tabs>
        <w:ind w:left="848"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3.建设行政村名单</w:t>
      </w:r>
    </w:p>
    <w:p>
      <w:pPr>
        <w:tabs>
          <w:tab w:val="left" w:pos="312"/>
        </w:tabs>
        <w:ind w:left="848"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4.电信普遍服务试点建设项目验收资料表</w:t>
      </w:r>
    </w:p>
    <w:p>
      <w:pPr>
        <w:tabs>
          <w:tab w:val="left" w:pos="312"/>
        </w:tabs>
        <w:ind w:left="848"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5.验收工具一览表</w:t>
      </w:r>
    </w:p>
    <w:p>
      <w:pPr>
        <w:tabs>
          <w:tab w:val="left" w:pos="312"/>
        </w:tabs>
        <w:ind w:left="848"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6.影像资料</w:t>
      </w:r>
    </w:p>
    <w:p>
      <w:pPr>
        <w:ind w:firstLine="560"/>
        <w:rPr>
          <w:rFonts w:hint="eastAsia" w:asciiTheme="minorEastAsia" w:hAnsiTheme="minorEastAsia" w:eastAsiaTheme="minorEastAsia" w:cstheme="minorEastAsia"/>
          <w:sz w:val="28"/>
          <w:szCs w:val="28"/>
        </w:rPr>
      </w:pPr>
    </w:p>
    <w:p>
      <w:pPr>
        <w:ind w:firstLine="3640" w:firstLineChars="13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甘肃省通信产业工程监理有限公司</w:t>
      </w:r>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2019年4月1</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日</w:t>
      </w:r>
    </w:p>
    <w:p>
      <w:pPr>
        <w:pStyle w:val="2"/>
        <w:ind w:left="0" w:leftChars="0" w:firstLine="0" w:firstLineChars="0"/>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sz w:val="36"/>
          <w:szCs w:val="36"/>
        </w:rPr>
        <w:br w:type="page"/>
      </w:r>
      <w:bookmarkStart w:id="14" w:name="_Toc27635"/>
      <w:r>
        <w:rPr>
          <w:rFonts w:hint="eastAsia" w:asciiTheme="minorEastAsia" w:hAnsiTheme="minorEastAsia" w:eastAsiaTheme="minorEastAsia" w:cstheme="minorEastAsia"/>
          <w:b w:val="0"/>
          <w:sz w:val="36"/>
          <w:szCs w:val="36"/>
        </w:rPr>
        <w:t>附件一</w:t>
      </w:r>
      <w:bookmarkEnd w:id="14"/>
    </w:p>
    <w:p>
      <w:pPr>
        <w:widowControl/>
        <w:ind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电信普遍服务试点项目实地抽查情况表</w:t>
      </w:r>
    </w:p>
    <w:tbl>
      <w:tblPr>
        <w:tblStyle w:val="16"/>
        <w:tblW w:w="10301" w:type="dxa"/>
        <w:jc w:val="center"/>
        <w:tblInd w:w="0" w:type="dxa"/>
        <w:tblLayout w:type="fixed"/>
        <w:tblCellMar>
          <w:top w:w="0" w:type="dxa"/>
          <w:left w:w="108" w:type="dxa"/>
          <w:bottom w:w="0" w:type="dxa"/>
          <w:right w:w="108" w:type="dxa"/>
        </w:tblCellMar>
      </w:tblPr>
      <w:tblGrid>
        <w:gridCol w:w="570"/>
        <w:gridCol w:w="990"/>
        <w:gridCol w:w="1110"/>
        <w:gridCol w:w="1260"/>
        <w:gridCol w:w="600"/>
        <w:gridCol w:w="645"/>
        <w:gridCol w:w="660"/>
        <w:gridCol w:w="585"/>
        <w:gridCol w:w="690"/>
        <w:gridCol w:w="639"/>
        <w:gridCol w:w="1276"/>
        <w:gridCol w:w="1276"/>
      </w:tblGrid>
      <w:tr>
        <w:tblPrEx>
          <w:tblLayout w:type="fixed"/>
          <w:tblCellMar>
            <w:top w:w="0" w:type="dxa"/>
            <w:left w:w="108" w:type="dxa"/>
            <w:bottom w:w="0" w:type="dxa"/>
            <w:right w:w="108" w:type="dxa"/>
          </w:tblCellMar>
        </w:tblPrEx>
        <w:trPr>
          <w:trHeight w:val="270" w:hRule="atLeast"/>
          <w:jc w:val="center"/>
        </w:trPr>
        <w:tc>
          <w:tcPr>
            <w:tcW w:w="5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left="0" w:leftChars="0" w:firstLine="0" w:firstLineChars="0"/>
              <w:rPr>
                <w:rFonts w:hint="eastAsia" w:asciiTheme="minorEastAsia" w:hAnsiTheme="minorEastAsia" w:eastAsiaTheme="minorEastAsia" w:cstheme="minorEastAsia"/>
                <w:color w:val="000000"/>
                <w:kern w:val="0"/>
                <w:sz w:val="24"/>
                <w:szCs w:val="24"/>
                <w:lang w:eastAsia="zh-CN"/>
              </w:rPr>
            </w:pPr>
            <w:bookmarkStart w:id="15" w:name="_Toc525637069"/>
            <w:r>
              <w:rPr>
                <w:rFonts w:hint="eastAsia" w:asciiTheme="minorEastAsia" w:hAnsiTheme="minorEastAsia" w:eastAsiaTheme="minorEastAsia" w:cstheme="minorEastAsia"/>
                <w:color w:val="000000"/>
                <w:kern w:val="0"/>
                <w:sz w:val="24"/>
                <w:szCs w:val="24"/>
                <w:lang w:eastAsia="zh-CN"/>
              </w:rPr>
              <w:t>序号</w:t>
            </w:r>
          </w:p>
        </w:tc>
        <w:tc>
          <w:tcPr>
            <w:tcW w:w="99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地市</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县乡镇</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行政村名</w:t>
            </w:r>
          </w:p>
        </w:tc>
        <w:tc>
          <w:tcPr>
            <w:tcW w:w="1905"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光纤是否通达</w:t>
            </w:r>
          </w:p>
        </w:tc>
        <w:tc>
          <w:tcPr>
            <w:tcW w:w="5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是否预留4芯光纤</w:t>
            </w:r>
          </w:p>
        </w:tc>
        <w:tc>
          <w:tcPr>
            <w:tcW w:w="6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专用客户端是否到位</w:t>
            </w:r>
          </w:p>
        </w:tc>
        <w:tc>
          <w:tcPr>
            <w:tcW w:w="6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是否有专属资费</w:t>
            </w:r>
          </w:p>
        </w:tc>
        <w:tc>
          <w:tcPr>
            <w:tcW w:w="127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用户速率(12Mbps以上）</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收光功率</w:t>
            </w:r>
          </w:p>
        </w:tc>
      </w:tr>
      <w:tr>
        <w:tblPrEx>
          <w:tblLayout w:type="fixed"/>
          <w:tblCellMar>
            <w:top w:w="0" w:type="dxa"/>
            <w:left w:w="108" w:type="dxa"/>
            <w:bottom w:w="0" w:type="dxa"/>
            <w:right w:w="108" w:type="dxa"/>
          </w:tblCellMar>
        </w:tblPrEx>
        <w:trPr>
          <w:trHeight w:val="270"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90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276"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276"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（二级分纤箱）</w:t>
            </w:r>
          </w:p>
        </w:tc>
      </w:tr>
      <w:tr>
        <w:tblPrEx>
          <w:tblLayout w:type="fixed"/>
          <w:tblCellMar>
            <w:top w:w="0" w:type="dxa"/>
            <w:left w:w="108" w:type="dxa"/>
            <w:bottom w:w="0" w:type="dxa"/>
            <w:right w:w="108" w:type="dxa"/>
          </w:tblCellMar>
        </w:tblPrEx>
        <w:trPr>
          <w:trHeight w:val="555"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60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村委会</w:t>
            </w:r>
          </w:p>
        </w:tc>
        <w:tc>
          <w:tcPr>
            <w:tcW w:w="645"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学校</w:t>
            </w:r>
          </w:p>
        </w:tc>
        <w:tc>
          <w:tcPr>
            <w:tcW w:w="660"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卫生室</w:t>
            </w:r>
          </w:p>
        </w:tc>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6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实测值</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实测值</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夏河县甘加乡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八角城村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59.7Mbps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-18.86dBm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夏河县甘加乡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作海村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53.2Mbpss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-18.33dBm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3</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卓尼县阿子滩乡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达架村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41.0Mbps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-21.11dBm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4</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卓尼县完冒乡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俄化村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51.6Mbps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-10.45dBm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卓尼县申藏乡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斜藏村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51.7Mbps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-20.03dBm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6</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临潭县长川回族乡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塔那村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79.6Mbps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-20.89dBm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临潭县新城镇</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下川村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76.2Mbps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-18.79dBm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临潭县长川回族乡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冯旗村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77.7Mbps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-17.79dBm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9</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临潭县三岔乡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岳家河村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76.0Mbps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-14.49dBm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10</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临潭县洮滨乡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马旦沟村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78.1Mbps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-16.95dBm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11</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临潭县新城镇</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口子下村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54.2Mbps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-17.72dBm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12</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卓尼县柳林乡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草岔沟村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84.3Mbps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-14.96dBm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13</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卓尼县扎古录乡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赛如那村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86.5Mbps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-20.82dBm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14</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夏河县博拉乡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玉华村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56.8Mbps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-19.29dBm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15</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夏河县博拉乡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吾乎扎村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83.1Mbps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-20.07dBm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16</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碌曲县玛艾镇</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红科村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84.1Mbps</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-14.09dBm</w:t>
            </w:r>
          </w:p>
        </w:tc>
      </w:tr>
      <w:tr>
        <w:tblPrEx>
          <w:tblLayout w:type="fixed"/>
          <w:tblCellMar>
            <w:top w:w="0" w:type="dxa"/>
            <w:left w:w="108" w:type="dxa"/>
            <w:bottom w:w="0" w:type="dxa"/>
            <w:right w:w="108" w:type="dxa"/>
          </w:tblCellMar>
        </w:tblPrEx>
        <w:trPr>
          <w:trHeight w:val="540" w:hRule="atLeast"/>
          <w:jc w:val="center"/>
        </w:trPr>
        <w:tc>
          <w:tcPr>
            <w:tcW w:w="57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17</w:t>
            </w:r>
          </w:p>
        </w:tc>
        <w:tc>
          <w:tcPr>
            <w:tcW w:w="9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甘南州</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碌曲县西仓乡</w:t>
            </w:r>
          </w:p>
        </w:tc>
        <w:tc>
          <w:tcPr>
            <w:tcW w:w="12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唐龙多村</w:t>
            </w:r>
          </w:p>
        </w:tc>
        <w:tc>
          <w:tcPr>
            <w:tcW w:w="6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4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58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9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是</w:t>
            </w:r>
          </w:p>
        </w:tc>
        <w:tc>
          <w:tcPr>
            <w:tcW w:w="6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有</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　</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2"/>
              </w:rPr>
            </w:pPr>
            <w:r>
              <w:rPr>
                <w:rFonts w:hint="eastAsia" w:asciiTheme="minorEastAsia" w:hAnsiTheme="minorEastAsia" w:eastAsiaTheme="minorEastAsia" w:cstheme="minorEastAsia"/>
                <w:color w:val="000000"/>
                <w:kern w:val="0"/>
                <w:sz w:val="22"/>
              </w:rPr>
              <w:t>-16.37dBm</w:t>
            </w:r>
          </w:p>
        </w:tc>
      </w:tr>
      <w:bookmarkEnd w:id="15"/>
    </w:tbl>
    <w:p>
      <w:pPr>
        <w:spacing w:line="570" w:lineRule="exact"/>
        <w:ind w:left="0" w:leftChars="0"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备注：</w:t>
      </w:r>
      <w:bookmarkStart w:id="16" w:name="_Toc486230304"/>
      <w:r>
        <w:rPr>
          <w:rFonts w:hint="eastAsia" w:asciiTheme="minorEastAsia" w:hAnsiTheme="minorEastAsia" w:eastAsiaTheme="minorEastAsia" w:cstheme="minorEastAsia"/>
          <w:color w:val="000000" w:themeColor="text1"/>
          <w:sz w:val="28"/>
          <w:szCs w:val="28"/>
          <w14:textFill>
            <w14:solidFill>
              <w14:schemeClr w14:val="tx1"/>
            </w14:solidFill>
          </w14:textFill>
        </w:rPr>
        <w:t>中国移动通信集团甘南分公司针对电信普遍服务试点区域所有客户制定三种资费套餐：套餐1(赠送100M宽带，原价20元/月的中国移动互联网电视价格优惠至5元/月）；套餐2（赠送200M宽带，互联网电视优惠至10元/月）；套餐3（赠送300M宽带，互联网电视优惠至15元/月）。</w:t>
      </w:r>
    </w:p>
    <w:p>
      <w:pPr>
        <w:spacing w:line="570" w:lineRule="exact"/>
        <w:ind w:firstLine="56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针对电信普遍服务试点区域客户无移动手机号码的提供优惠资费套餐，最低至9元/月。</w:t>
      </w:r>
    </w:p>
    <w:p>
      <w:pPr>
        <w:widowControl/>
        <w:ind w:firstLine="560"/>
        <w:jc w:val="left"/>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针对电信普遍服务试点区域家庭成员通话需求，提供最高2000分钟家庭网内通话免费体验六个月优惠政策。</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widowControl/>
        <w:spacing w:line="240" w:lineRule="auto"/>
        <w:ind w:firstLine="0" w:firstLineChars="0"/>
        <w:jc w:val="left"/>
        <w:rPr>
          <w:rFonts w:hint="eastAsia" w:asciiTheme="minorEastAsia" w:hAnsiTheme="minorEastAsia" w:eastAsiaTheme="minorEastAsia" w:cstheme="minorEastAsia"/>
          <w:b/>
          <w:bCs/>
          <w:kern w:val="44"/>
          <w:sz w:val="36"/>
          <w:szCs w:val="36"/>
        </w:rPr>
      </w:pPr>
      <w:bookmarkStart w:id="17" w:name="_Toc525637070"/>
      <w:r>
        <w:rPr>
          <w:rFonts w:hint="eastAsia" w:asciiTheme="minorEastAsia" w:hAnsiTheme="minorEastAsia" w:eastAsiaTheme="minorEastAsia" w:cstheme="minorEastAsia"/>
          <w:sz w:val="36"/>
          <w:szCs w:val="36"/>
        </w:rPr>
        <w:br w:type="page"/>
      </w:r>
    </w:p>
    <w:p>
      <w:pPr>
        <w:pStyle w:val="2"/>
        <w:ind w:firstLine="237" w:firstLineChars="66"/>
        <w:rPr>
          <w:rFonts w:hint="eastAsia" w:asciiTheme="minorEastAsia" w:hAnsiTheme="minorEastAsia" w:eastAsiaTheme="minorEastAsia" w:cstheme="minorEastAsia"/>
          <w:sz w:val="36"/>
          <w:szCs w:val="36"/>
        </w:rPr>
      </w:pPr>
      <w:bookmarkStart w:id="18" w:name="_Toc8794"/>
      <w:r>
        <w:rPr>
          <w:rFonts w:hint="eastAsia" w:asciiTheme="minorEastAsia" w:hAnsiTheme="minorEastAsia" w:eastAsiaTheme="minorEastAsia" w:cstheme="minorEastAsia"/>
          <w:b w:val="0"/>
          <w:sz w:val="36"/>
          <w:szCs w:val="36"/>
        </w:rPr>
        <w:t>附件二</w:t>
      </w:r>
      <w:bookmarkEnd w:id="18"/>
    </w:p>
    <w:p>
      <w:pPr>
        <w:ind w:left="0" w:leftChars="0"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调减行政村名单</w:t>
      </w:r>
    </w:p>
    <w:tbl>
      <w:tblPr>
        <w:tblStyle w:val="16"/>
        <w:tblW w:w="8713" w:type="dxa"/>
        <w:tblInd w:w="93" w:type="dxa"/>
        <w:tblLayout w:type="fixed"/>
        <w:tblCellMar>
          <w:top w:w="0" w:type="dxa"/>
          <w:left w:w="108" w:type="dxa"/>
          <w:bottom w:w="0" w:type="dxa"/>
          <w:right w:w="108" w:type="dxa"/>
        </w:tblCellMar>
      </w:tblPr>
      <w:tblGrid>
        <w:gridCol w:w="1016"/>
        <w:gridCol w:w="1016"/>
        <w:gridCol w:w="1015"/>
        <w:gridCol w:w="1015"/>
        <w:gridCol w:w="1606"/>
        <w:gridCol w:w="1015"/>
        <w:gridCol w:w="1015"/>
        <w:gridCol w:w="1015"/>
      </w:tblGrid>
      <w:tr>
        <w:tblPrEx>
          <w:tblLayout w:type="fixed"/>
          <w:tblCellMar>
            <w:top w:w="0" w:type="dxa"/>
            <w:left w:w="108" w:type="dxa"/>
            <w:bottom w:w="0" w:type="dxa"/>
            <w:right w:w="108" w:type="dxa"/>
          </w:tblCellMar>
        </w:tblPrEx>
        <w:trPr>
          <w:trHeight w:val="310" w:hRule="atLeast"/>
        </w:trPr>
        <w:tc>
          <w:tcPr>
            <w:tcW w:w="1016"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spacing w:line="240" w:lineRule="auto"/>
              <w:ind w:firstLine="42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序号</w:t>
            </w:r>
          </w:p>
        </w:tc>
        <w:tc>
          <w:tcPr>
            <w:tcW w:w="1016"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市</w:t>
            </w:r>
          </w:p>
        </w:tc>
        <w:tc>
          <w:tcPr>
            <w:tcW w:w="1015"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县</w:t>
            </w:r>
          </w:p>
        </w:tc>
        <w:tc>
          <w:tcPr>
            <w:tcW w:w="1015"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乡</w:t>
            </w:r>
          </w:p>
        </w:tc>
        <w:tc>
          <w:tcPr>
            <w:tcW w:w="1606"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村</w:t>
            </w:r>
          </w:p>
        </w:tc>
        <w:tc>
          <w:tcPr>
            <w:tcW w:w="1015"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升级/未通</w:t>
            </w:r>
          </w:p>
        </w:tc>
        <w:tc>
          <w:tcPr>
            <w:tcW w:w="1015"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承建企业</w:t>
            </w:r>
          </w:p>
        </w:tc>
        <w:tc>
          <w:tcPr>
            <w:tcW w:w="1015" w:type="dxa"/>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核减原因</w:t>
            </w:r>
          </w:p>
        </w:tc>
      </w:tr>
      <w:tr>
        <w:tblPrEx>
          <w:tblLayout w:type="fixed"/>
          <w:tblCellMar>
            <w:top w:w="0" w:type="dxa"/>
            <w:left w:w="108" w:type="dxa"/>
            <w:bottom w:w="0" w:type="dxa"/>
            <w:right w:w="108" w:type="dxa"/>
          </w:tblCellMar>
        </w:tblPrEx>
        <w:trPr>
          <w:trHeight w:val="310"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w:t>
            </w:r>
          </w:p>
        </w:tc>
        <w:tc>
          <w:tcPr>
            <w:tcW w:w="101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临潭县</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新城镇</w:t>
            </w:r>
          </w:p>
        </w:tc>
        <w:tc>
          <w:tcPr>
            <w:tcW w:w="160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东街村</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重复</w:t>
            </w:r>
          </w:p>
        </w:tc>
      </w:tr>
      <w:tr>
        <w:tblPrEx>
          <w:tblLayout w:type="fixed"/>
          <w:tblCellMar>
            <w:top w:w="0" w:type="dxa"/>
            <w:left w:w="108" w:type="dxa"/>
            <w:bottom w:w="0" w:type="dxa"/>
            <w:right w:w="108" w:type="dxa"/>
          </w:tblCellMar>
        </w:tblPrEx>
        <w:trPr>
          <w:trHeight w:val="310"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2</w:t>
            </w:r>
          </w:p>
        </w:tc>
        <w:tc>
          <w:tcPr>
            <w:tcW w:w="101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临潭县</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新城镇</w:t>
            </w:r>
          </w:p>
        </w:tc>
        <w:tc>
          <w:tcPr>
            <w:tcW w:w="160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西街村</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重复</w:t>
            </w:r>
          </w:p>
        </w:tc>
      </w:tr>
      <w:tr>
        <w:tblPrEx>
          <w:tblLayout w:type="fixed"/>
          <w:tblCellMar>
            <w:top w:w="0" w:type="dxa"/>
            <w:left w:w="108" w:type="dxa"/>
            <w:bottom w:w="0" w:type="dxa"/>
            <w:right w:w="108" w:type="dxa"/>
          </w:tblCellMar>
        </w:tblPrEx>
        <w:trPr>
          <w:trHeight w:val="310"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3</w:t>
            </w:r>
          </w:p>
        </w:tc>
        <w:tc>
          <w:tcPr>
            <w:tcW w:w="101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甘加乡</w:t>
            </w:r>
          </w:p>
        </w:tc>
        <w:tc>
          <w:tcPr>
            <w:tcW w:w="160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哇代村</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重复</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4</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临潭县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城关镇</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后川村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5</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临潭县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康多乡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圆日纳</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6</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临潭县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流顺乡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吴家坡</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7</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卓尼县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完冒乡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亦子多村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8</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碌曲县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尕海乡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李恰如牧场村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9</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唐尕昂乡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切龙村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10</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桑科乡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桑科牧民新村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升级</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11</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甘加乡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白石崖</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12</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甘加乡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尕代拉卡</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13</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甘加乡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仁青（斯柔）村</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605"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14</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夏河县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科才乡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达久滩</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行政村撤并</w:t>
            </w:r>
          </w:p>
        </w:tc>
      </w:tr>
      <w:tr>
        <w:tblPrEx>
          <w:tblLayout w:type="fixed"/>
          <w:tblCellMar>
            <w:top w:w="0" w:type="dxa"/>
            <w:left w:w="108" w:type="dxa"/>
            <w:bottom w:w="0" w:type="dxa"/>
            <w:right w:w="108" w:type="dxa"/>
          </w:tblCellMar>
        </w:tblPrEx>
        <w:trPr>
          <w:trHeight w:val="310"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15</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卓尼县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纳浪乡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巴杰</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非行政村</w:t>
            </w:r>
          </w:p>
        </w:tc>
      </w:tr>
      <w:tr>
        <w:tblPrEx>
          <w:tblLayout w:type="fixed"/>
          <w:tblCellMar>
            <w:top w:w="0" w:type="dxa"/>
            <w:left w:w="108" w:type="dxa"/>
            <w:bottom w:w="0" w:type="dxa"/>
            <w:right w:w="108" w:type="dxa"/>
          </w:tblCellMar>
        </w:tblPrEx>
        <w:trPr>
          <w:trHeight w:val="310" w:hRule="atLeast"/>
        </w:trPr>
        <w:tc>
          <w:tcPr>
            <w:tcW w:w="1016"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16</w:t>
            </w:r>
          </w:p>
        </w:tc>
        <w:tc>
          <w:tcPr>
            <w:tcW w:w="101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甘南</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卓尼县</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纳浪乡</w:t>
            </w:r>
          </w:p>
        </w:tc>
        <w:tc>
          <w:tcPr>
            <w:tcW w:w="1606"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上川</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未通</w:t>
            </w:r>
          </w:p>
        </w:tc>
        <w:tc>
          <w:tcPr>
            <w:tcW w:w="1015" w:type="dxa"/>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移动</w:t>
            </w:r>
          </w:p>
        </w:tc>
        <w:tc>
          <w:tcPr>
            <w:tcW w:w="1015"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非行政村</w:t>
            </w:r>
          </w:p>
        </w:tc>
      </w:tr>
    </w:tbl>
    <w:p>
      <w:pPr>
        <w:ind w:firstLine="420"/>
        <w:rPr>
          <w:rFonts w:hint="eastAsia" w:asciiTheme="minorEastAsia" w:hAnsiTheme="minorEastAsia" w:eastAsiaTheme="minorEastAsia" w:cstheme="minorEastAsia"/>
        </w:rPr>
      </w:pPr>
    </w:p>
    <w:p>
      <w:pPr>
        <w:widowControl/>
        <w:spacing w:line="240" w:lineRule="auto"/>
        <w:ind w:firstLine="0" w:firstLineChars="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ind w:firstLine="237" w:firstLineChars="66"/>
        <w:rPr>
          <w:rFonts w:hint="eastAsia" w:asciiTheme="minorEastAsia" w:hAnsiTheme="minorEastAsia" w:eastAsiaTheme="minorEastAsia" w:cstheme="minorEastAsia"/>
          <w:b w:val="0"/>
          <w:sz w:val="36"/>
          <w:szCs w:val="36"/>
        </w:rPr>
      </w:pPr>
      <w:bookmarkStart w:id="19" w:name="_Toc21731"/>
      <w:r>
        <w:rPr>
          <w:rFonts w:hint="eastAsia" w:asciiTheme="minorEastAsia" w:hAnsiTheme="minorEastAsia" w:eastAsiaTheme="minorEastAsia" w:cstheme="minorEastAsia"/>
          <w:b w:val="0"/>
          <w:sz w:val="36"/>
          <w:szCs w:val="36"/>
        </w:rPr>
        <w:t>附件三</w:t>
      </w:r>
      <w:bookmarkEnd w:id="19"/>
    </w:p>
    <w:p>
      <w:pPr>
        <w:ind w:firstLine="342" w:firstLineChars="95"/>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建设行政村名单</w:t>
      </w:r>
      <w:bookmarkEnd w:id="17"/>
    </w:p>
    <w:tbl>
      <w:tblPr>
        <w:tblStyle w:val="16"/>
        <w:tblW w:w="8946" w:type="dxa"/>
        <w:tblInd w:w="93" w:type="dxa"/>
        <w:tblLayout w:type="fixed"/>
        <w:tblCellMar>
          <w:top w:w="0" w:type="dxa"/>
          <w:left w:w="108" w:type="dxa"/>
          <w:bottom w:w="0" w:type="dxa"/>
          <w:right w:w="108" w:type="dxa"/>
        </w:tblCellMar>
      </w:tblPr>
      <w:tblGrid>
        <w:gridCol w:w="660"/>
        <w:gridCol w:w="720"/>
        <w:gridCol w:w="980"/>
        <w:gridCol w:w="1199"/>
        <w:gridCol w:w="1276"/>
        <w:gridCol w:w="709"/>
        <w:gridCol w:w="2268"/>
        <w:gridCol w:w="1134"/>
      </w:tblGrid>
      <w:tr>
        <w:tblPrEx>
          <w:tblLayout w:type="fixed"/>
          <w:tblCellMar>
            <w:top w:w="0" w:type="dxa"/>
            <w:left w:w="108" w:type="dxa"/>
            <w:bottom w:w="0" w:type="dxa"/>
            <w:right w:w="108" w:type="dxa"/>
          </w:tblCellMar>
        </w:tblPrEx>
        <w:trPr>
          <w:trHeight w:val="312" w:hRule="atLeast"/>
        </w:trPr>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序号</w:t>
            </w:r>
          </w:p>
        </w:tc>
        <w:tc>
          <w:tcPr>
            <w:tcW w:w="7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市州</w:t>
            </w:r>
          </w:p>
        </w:tc>
        <w:tc>
          <w:tcPr>
            <w:tcW w:w="9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县区</w:t>
            </w:r>
          </w:p>
        </w:tc>
        <w:tc>
          <w:tcPr>
            <w:tcW w:w="11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乡镇（街道)名称</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行政村</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未通/升级</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行政村变更情况</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备注</w:t>
            </w:r>
          </w:p>
        </w:tc>
      </w:tr>
      <w:tr>
        <w:tblPrEx>
          <w:tblLayout w:type="fixed"/>
          <w:tblCellMar>
            <w:top w:w="0" w:type="dxa"/>
            <w:left w:w="108" w:type="dxa"/>
            <w:bottom w:w="0" w:type="dxa"/>
            <w:right w:w="108" w:type="dxa"/>
          </w:tblCellMar>
        </w:tblPrEx>
        <w:trPr>
          <w:trHeight w:val="312" w:hRule="atLeast"/>
        </w:trPr>
        <w:tc>
          <w:tcPr>
            <w:tcW w:w="6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7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9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119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color w:val="000000"/>
                <w:kern w:val="0"/>
                <w:szCs w:val="21"/>
              </w:rPr>
            </w:pP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奈玉沟村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格日仓村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东山村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洒索玛村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王格尔塘乡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阿子合村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加科村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吉昂村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黑力宁巴村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完垦村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扎代村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岗岔村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多玛村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日芒村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地仓村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哇代村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属于重复建设，需取消建设点位</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卡加村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热集合</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属于夏河县甘加乡仁青村委会下属自然村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哇代村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72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白石崖</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属于夏河县甘加乡八角城村委会下属自然村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720" w:hRule="atLeast"/>
        </w:trPr>
        <w:tc>
          <w:tcPr>
            <w:tcW w:w="660" w:type="dxa"/>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w:t>
            </w:r>
          </w:p>
        </w:tc>
        <w:tc>
          <w:tcPr>
            <w:tcW w:w="720"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尕代拉卡</w:t>
            </w:r>
          </w:p>
        </w:tc>
        <w:tc>
          <w:tcPr>
            <w:tcW w:w="709"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single" w:color="auto" w:sz="4" w:space="0"/>
              <w:left w:val="nil"/>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属于夏河县甘加乡八角城村委会下属自然村</w:t>
            </w:r>
          </w:p>
        </w:tc>
        <w:tc>
          <w:tcPr>
            <w:tcW w:w="1134" w:type="dxa"/>
            <w:tcBorders>
              <w:top w:val="single" w:color="auto" w:sz="4" w:space="0"/>
              <w:left w:val="nil"/>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w:t>
            </w:r>
          </w:p>
        </w:tc>
        <w:tc>
          <w:tcPr>
            <w:tcW w:w="720"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作海村</w:t>
            </w:r>
          </w:p>
        </w:tc>
        <w:tc>
          <w:tcPr>
            <w:tcW w:w="709"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仁艾村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甘加乡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仁青（斯柔）村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乎尔卡加村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山塘村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牙利吉乡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尼玛龙村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牙利吉乡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格合咱村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牙利吉乡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阿纳村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牙利吉乡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牙利吉村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加地沟村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罗吾滩村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玉华村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华盖村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娄来布村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吾乎扎村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强盖昂村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木道村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西小村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科才乡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科才村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科才乡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达久滩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属于夏河县桑科乡多玛村委会下属自然村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科才乡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其莫尔村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科才乡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赞布宁村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果宁村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亚休村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49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孜合孜村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奥赛村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切龙村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让吾曼村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切龙村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夏河县麻当乡切龙村委会建设点位中建设</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让吾道村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扎油曼村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59</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扎油乡</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扎油哇村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郎木寺镇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尔娘村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尕海乡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李恰如牧场村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属于碌曲县尕海乡秀哇村委会下属自然村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玛艾镇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红科村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唐龙多村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拉仁关乡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拉仁关乡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玛日村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双岔乡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毛日村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双岔乡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青禾村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吉扎村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69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阿拉乡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博拉村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草岔沟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上卓尼</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东石沟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多洛</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多坝</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冰崖</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麻地湾</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寺古多</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叶儿</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79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博峪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秋谷</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出那</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七车</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吾固</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大小板子</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朝勿</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若龙</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上川</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卓尼县纳浪乡上川村无此行政村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巴杰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卓尼县纳浪乡巴杰村无此行政村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89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西尼沟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尼巴乡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尼巴</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尼巴乡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江车</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尼巴乡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格拉</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刀告乡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贡巴</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刀告乡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盘桥</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麻路</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录日岔</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强岔</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99</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塔扎</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赛如那</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八什卡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扎古录乡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柏林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俄化</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康木车</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沙冒多</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阿子滩乡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板藏</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阿子滩乡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足子</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阿子滩乡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达加</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109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旦藏</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冷口</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小沟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斜藏</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恰盖乡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角缠</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恰盖乡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利加</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恰盖乡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脑索</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上扎</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恰布</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候旗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119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包舍口</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石达滩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巴都</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杜家川</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纳尔</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72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大族乡（喀尔钦乡的一部分）</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拉力沟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72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大族乡（喀尔钦乡的一部分）</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大族</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梁家坡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129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萝卜沟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三旦沟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扎浪沟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占旗河</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石门口</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三里</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端阳沟村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口子下村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吴家沟村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138</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红崖村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139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后山村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高庄</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岗沟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牙关</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古占山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普藏什</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九日卡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卡勺卡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木地坡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149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西石沟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拉布</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吴家坡</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属于临潭县流顺乡眼藏村委会下属自然村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李歧山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王清</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尹家沟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业仁</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洛藏</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朱旗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159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上川村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巴杰村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常旗村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马旦沟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郑旗村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斜沟村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高楼子</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直沟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岳家河</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169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大沟门</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王家坟</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巴杰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龙元山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草场门</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上沟门</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马旗村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韩旗村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立新村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179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陈庄村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180</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陈旗村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大草滩</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下河</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秋峪</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庙花山</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中寨</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竹林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茄羊</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189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牙扎</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达子多</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录巴寺</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革古</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拉扎</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卓洛</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喀尔钦乡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大力</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康多乡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圆日纳</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未通</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临潭县圆日纳村无此行政村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拉卜楞镇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九甲村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拉卜楞镇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麻莲滩村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199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曲奥多乡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清水村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曲奥多乡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香告村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阿木去乎镇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安果村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桑科牧民新村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属于夏河县桑科乡桑科村委会下属自然村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黄茨滩村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达麦乡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达麦村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夏河县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唐尕昂村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郎木寺镇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郎木寺村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郎木寺镇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贡巴村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209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郎木寺镇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波海村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尕海乡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加仓村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尕海乡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尕秀村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尕海乡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秀哇村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玛艾镇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玛艾村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玛艾镇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加格村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新寺村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西仓乡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贡去乎村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拉仁关乡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则岔村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双岔乡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洛措村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219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双岔乡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二地村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220</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碌曲县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阿拉乡</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田多村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寺台子村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沙盖村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白塔村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柳林镇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木耳村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納浪乡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羊化村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納浪乡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温期村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尼巴乡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刀告乡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隆多村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229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根沙村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亦子多村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卓尼县亦子多村无此行政村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完冒乡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沙冒后村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阿子滩乡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阿子滩村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申藏乡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郭大村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恰盖乡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温布滩村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新堡村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藏巴哇乡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柏林村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古路坪村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239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坑乍村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72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大族乡（喀尔钦乡的一部分）</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麻地卡村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大河桥村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卓尼县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石门乡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大桥关村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后川村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属于临潭县城关镇郊口村委会下属自然村</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范家咀村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青崖村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杨家桥村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教场村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西庄子村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249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下河滩村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上河滩村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左拉村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郊口村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古城村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城内村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城关镇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苏家庄村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后池村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48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属于重复建设，需取消建设点位</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48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258</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东街村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属于重复建设，需取消建设点位</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附件2已说明</w:t>
            </w: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259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南门河村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晏家堡村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丁家山村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东南沟村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东山村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西街村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东街村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张旗村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下川村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扁都村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269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李家庄村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刘旗村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羊房村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哈尕滩村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新城镇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肖家沟村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洪家村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葸家村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堡子村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池沟村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冶力关镇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关街村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279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鹿台村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术布乡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扎乍村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拉直村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古战乡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甘尼村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卓洛乡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上园子村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卓洛乡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下园子村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阳升村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敏家嘴村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289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千家寨村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沙巴村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冯旗村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塔那村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汪槐村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长川乡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马牌村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孙家磨村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李岗村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299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白土村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300</w:t>
            </w:r>
          </w:p>
        </w:tc>
        <w:tc>
          <w:tcPr>
            <w:tcW w:w="7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羊永镇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太平村</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宋家庄村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上寨村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眼藏村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八仁村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汪家嘴村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流顺乡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丁家堡村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店子乡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戚旗村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新堡村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309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秦关村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310</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洮滨乡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总寨村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311</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三岔乡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半沟村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312</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313</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中寨村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314</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王旗镇</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磨沟村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315</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316</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新庄村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317</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羊沙乡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甘沟村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318</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康多乡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白土咀村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r>
        <w:tblPrEx>
          <w:tblLayout w:type="fixed"/>
          <w:tblCellMar>
            <w:top w:w="0" w:type="dxa"/>
            <w:left w:w="108" w:type="dxa"/>
            <w:bottom w:w="0" w:type="dxa"/>
            <w:right w:w="108" w:type="dxa"/>
          </w:tblCellMar>
        </w:tblPrEx>
        <w:trPr>
          <w:trHeight w:val="270" w:hRule="atLeast"/>
        </w:trPr>
        <w:tc>
          <w:tcPr>
            <w:tcW w:w="6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319</w:t>
            </w:r>
          </w:p>
        </w:tc>
        <w:tc>
          <w:tcPr>
            <w:tcW w:w="72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甘南</w:t>
            </w:r>
          </w:p>
        </w:tc>
        <w:tc>
          <w:tcPr>
            <w:tcW w:w="9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临潭县</w:t>
            </w:r>
          </w:p>
        </w:tc>
        <w:tc>
          <w:tcPr>
            <w:tcW w:w="11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勺哇土族乡</w:t>
            </w:r>
          </w:p>
        </w:tc>
        <w:tc>
          <w:tcPr>
            <w:tcW w:w="127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勺哇村</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升级</w:t>
            </w:r>
          </w:p>
        </w:tc>
        <w:tc>
          <w:tcPr>
            <w:tcW w:w="2268"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eastAsia" w:asciiTheme="minorEastAsia" w:hAnsiTheme="minorEastAsia" w:eastAsiaTheme="minorEastAsia" w:cstheme="minorEastAsia"/>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eastAsia" w:asciiTheme="minorEastAsia" w:hAnsiTheme="minorEastAsia" w:eastAsiaTheme="minorEastAsia" w:cstheme="minorEastAsia"/>
                <w:kern w:val="0"/>
                <w:szCs w:val="21"/>
              </w:rPr>
            </w:pPr>
          </w:p>
        </w:tc>
      </w:tr>
    </w:tbl>
    <w:p>
      <w:pPr>
        <w:widowControl/>
        <w:spacing w:line="240" w:lineRule="auto"/>
        <w:ind w:firstLine="0" w:firstLineChars="0"/>
        <w:jc w:val="left"/>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br w:type="page"/>
      </w:r>
    </w:p>
    <w:p>
      <w:pPr>
        <w:pStyle w:val="2"/>
        <w:ind w:firstLine="0" w:firstLineChars="0"/>
        <w:rPr>
          <w:rFonts w:hint="eastAsia" w:asciiTheme="minorEastAsia" w:hAnsiTheme="minorEastAsia" w:eastAsiaTheme="minorEastAsia" w:cstheme="minorEastAsia"/>
          <w:b w:val="0"/>
          <w:sz w:val="36"/>
          <w:szCs w:val="36"/>
          <w:lang w:eastAsia="zh-CN"/>
        </w:rPr>
      </w:pPr>
      <w:bookmarkStart w:id="20" w:name="_Toc26688"/>
      <w:bookmarkStart w:id="21" w:name="_Toc525637071"/>
      <w:r>
        <w:rPr>
          <w:rFonts w:hint="eastAsia" w:asciiTheme="minorEastAsia" w:hAnsiTheme="minorEastAsia" w:eastAsiaTheme="minorEastAsia" w:cstheme="minorEastAsia"/>
          <w:b w:val="0"/>
          <w:sz w:val="36"/>
          <w:szCs w:val="36"/>
        </w:rPr>
        <w:t>附件</w:t>
      </w:r>
      <w:r>
        <w:rPr>
          <w:rFonts w:hint="eastAsia" w:asciiTheme="minorEastAsia" w:hAnsiTheme="minorEastAsia" w:eastAsiaTheme="minorEastAsia" w:cstheme="minorEastAsia"/>
          <w:b w:val="0"/>
          <w:sz w:val="36"/>
          <w:szCs w:val="36"/>
          <w:lang w:eastAsia="zh-CN"/>
        </w:rPr>
        <w:t>四</w:t>
      </w:r>
      <w:bookmarkEnd w:id="20"/>
    </w:p>
    <w:p>
      <w:pPr>
        <w:ind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电信普遍服务试点建设项目验收资料表</w:t>
      </w:r>
    </w:p>
    <w:p>
      <w:pPr>
        <w:ind w:firstLine="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4310" cy="7031990"/>
            <wp:effectExtent l="0" t="0" r="2540" b="16510"/>
            <wp:docPr id="1" name="图片 1" descr="E:\电信普遍服务检查\第三批电信普遍服务验收报告\甘南移动\IMG_20190420_1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电信普遍服务检查\第三批电信普遍服务验收报告\甘南移动\IMG_20190420_180419.jpg"/>
                    <pic:cNvPicPr>
                      <a:picLocks noChangeAspect="1" noChangeArrowheads="1"/>
                    </pic:cNvPicPr>
                  </pic:nvPicPr>
                  <pic:blipFill>
                    <a:blip r:embed="rId12" cstate="print"/>
                    <a:srcRect/>
                    <a:stretch>
                      <a:fillRect/>
                    </a:stretch>
                  </pic:blipFill>
                  <pic:spPr>
                    <a:xfrm rot="10800000">
                      <a:off x="0" y="0"/>
                      <a:ext cx="5274310" cy="7032413"/>
                    </a:xfrm>
                    <a:prstGeom prst="rect">
                      <a:avLst/>
                    </a:prstGeom>
                    <a:noFill/>
                    <a:ln w="9525">
                      <a:noFill/>
                      <a:miter lim="800000"/>
                      <a:headEnd/>
                      <a:tailEnd/>
                    </a:ln>
                  </pic:spPr>
                </pic:pic>
              </a:graphicData>
            </a:graphic>
          </wp:inline>
        </w:drawing>
      </w:r>
    </w:p>
    <w:p>
      <w:pPr>
        <w:pStyle w:val="2"/>
        <w:ind w:left="0" w:leftChars="0" w:firstLine="360" w:firstLineChars="100"/>
        <w:rPr>
          <w:rFonts w:hint="eastAsia" w:asciiTheme="minorEastAsia" w:hAnsiTheme="minorEastAsia" w:eastAsiaTheme="minorEastAsia" w:cstheme="minorEastAsia"/>
          <w:b w:val="0"/>
          <w:bCs w:val="0"/>
          <w:sz w:val="36"/>
          <w:szCs w:val="36"/>
        </w:rPr>
      </w:pPr>
      <w:bookmarkStart w:id="22" w:name="_Toc26799"/>
      <w:r>
        <w:rPr>
          <w:rFonts w:hint="eastAsia" w:asciiTheme="minorEastAsia" w:hAnsiTheme="minorEastAsia" w:eastAsiaTheme="minorEastAsia" w:cstheme="minorEastAsia"/>
          <w:b w:val="0"/>
          <w:bCs w:val="0"/>
          <w:sz w:val="36"/>
          <w:szCs w:val="36"/>
        </w:rPr>
        <w:t>附件</w:t>
      </w:r>
      <w:bookmarkEnd w:id="16"/>
      <w:bookmarkEnd w:id="21"/>
      <w:r>
        <w:rPr>
          <w:rFonts w:hint="eastAsia" w:asciiTheme="minorEastAsia" w:hAnsiTheme="minorEastAsia" w:eastAsiaTheme="minorEastAsia" w:cstheme="minorEastAsia"/>
          <w:b w:val="0"/>
          <w:bCs w:val="0"/>
          <w:sz w:val="36"/>
          <w:szCs w:val="36"/>
          <w:lang w:eastAsia="zh-CN"/>
        </w:rPr>
        <w:t>五</w:t>
      </w:r>
      <w:bookmarkEnd w:id="22"/>
    </w:p>
    <w:p>
      <w:pPr>
        <w:spacing w:line="560" w:lineRule="exact"/>
        <w:ind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验收工具一览表</w:t>
      </w:r>
    </w:p>
    <w:tbl>
      <w:tblPr>
        <w:tblStyle w:val="16"/>
        <w:tblW w:w="7751" w:type="dxa"/>
        <w:jc w:val="center"/>
        <w:tblInd w:w="620" w:type="dxa"/>
        <w:tblLayout w:type="fixed"/>
        <w:tblCellMar>
          <w:top w:w="0" w:type="dxa"/>
          <w:left w:w="108" w:type="dxa"/>
          <w:bottom w:w="0" w:type="dxa"/>
          <w:right w:w="108" w:type="dxa"/>
        </w:tblCellMar>
      </w:tblPr>
      <w:tblGrid>
        <w:gridCol w:w="940"/>
        <w:gridCol w:w="2860"/>
        <w:gridCol w:w="1800"/>
        <w:gridCol w:w="2151"/>
      </w:tblGrid>
      <w:tr>
        <w:tblPrEx>
          <w:tblLayout w:type="fixed"/>
          <w:tblCellMar>
            <w:top w:w="0" w:type="dxa"/>
            <w:left w:w="108" w:type="dxa"/>
            <w:bottom w:w="0" w:type="dxa"/>
            <w:right w:w="108" w:type="dxa"/>
          </w:tblCellMar>
        </w:tblPrEx>
        <w:trPr>
          <w:trHeight w:val="402" w:hRule="atLeast"/>
          <w:jc w:val="center"/>
        </w:trPr>
        <w:tc>
          <w:tcPr>
            <w:tcW w:w="9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序号</w:t>
            </w:r>
          </w:p>
        </w:tc>
        <w:tc>
          <w:tcPr>
            <w:tcW w:w="286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仪器名称</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数量</w:t>
            </w:r>
          </w:p>
        </w:tc>
        <w:tc>
          <w:tcPr>
            <w:tcW w:w="2151"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rPr>
              <w:t>型号</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光时域反射仪（OTDR）</w:t>
            </w:r>
          </w:p>
        </w:tc>
        <w:tc>
          <w:tcPr>
            <w:tcW w:w="1800" w:type="dxa"/>
            <w:tcBorders>
              <w:top w:val="nil"/>
              <w:left w:val="nil"/>
              <w:bottom w:val="single" w:color="000000"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日本安立S332D</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光功率计</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伟峰FHP2A04</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红光笔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2支</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涂覆层测厚仪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PT220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激光测距仪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2台</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Pro1500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6</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游标卡尺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广陆8926</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7</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皮尺（100M)</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2个</w:t>
            </w:r>
          </w:p>
        </w:tc>
        <w:tc>
          <w:tcPr>
            <w:tcW w:w="2151"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8</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试电笔</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2支</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9</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地阻仪</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2套</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ZC-8/KS-520</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10</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望远镜</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2台</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Panda</w:t>
            </w:r>
          </w:p>
        </w:tc>
      </w:tr>
      <w:tr>
        <w:tblPrEx>
          <w:tblLayout w:type="fixed"/>
          <w:tblCellMar>
            <w:top w:w="0" w:type="dxa"/>
            <w:left w:w="108" w:type="dxa"/>
            <w:bottom w:w="0" w:type="dxa"/>
            <w:right w:w="108" w:type="dxa"/>
          </w:tblCellMar>
        </w:tblPrEx>
        <w:trPr>
          <w:trHeight w:val="402" w:hRule="atLeast"/>
          <w:jc w:val="center"/>
        </w:trPr>
        <w:tc>
          <w:tcPr>
            <w:tcW w:w="940" w:type="dxa"/>
            <w:tcBorders>
              <w:top w:val="nil"/>
              <w:left w:val="single" w:color="auto" w:sz="8" w:space="0"/>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11</w:t>
            </w:r>
          </w:p>
        </w:tc>
        <w:tc>
          <w:tcPr>
            <w:tcW w:w="2860" w:type="dxa"/>
            <w:tcBorders>
              <w:top w:val="nil"/>
              <w:left w:val="nil"/>
              <w:bottom w:val="single" w:color="auto" w:sz="8" w:space="0"/>
              <w:right w:val="single" w:color="auto" w:sz="8" w:space="0"/>
            </w:tcBorders>
            <w:shd w:val="clear" w:color="auto" w:fill="auto"/>
            <w:noWrap/>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塔尺</w:t>
            </w:r>
          </w:p>
        </w:tc>
        <w:tc>
          <w:tcPr>
            <w:tcW w:w="1800" w:type="dxa"/>
            <w:tcBorders>
              <w:top w:val="nil"/>
              <w:left w:val="nil"/>
              <w:bottom w:val="single" w:color="000000"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2个</w:t>
            </w:r>
          </w:p>
        </w:tc>
        <w:tc>
          <w:tcPr>
            <w:tcW w:w="2151" w:type="dxa"/>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hint="eastAsia" w:asciiTheme="minorEastAsia" w:hAnsiTheme="minorEastAsia" w:eastAsiaTheme="minorEastAsia" w:cstheme="minorEastAsia"/>
                <w:kern w:val="0"/>
                <w:sz w:val="28"/>
                <w:szCs w:val="28"/>
              </w:rPr>
            </w:pPr>
          </w:p>
        </w:tc>
      </w:tr>
    </w:tbl>
    <w:p>
      <w:pPr>
        <w:widowControl/>
        <w:ind w:firstLine="440"/>
        <w:jc w:val="center"/>
        <w:rPr>
          <w:rFonts w:hint="eastAsia" w:asciiTheme="minorEastAsia" w:hAnsiTheme="minorEastAsia" w:eastAsiaTheme="minorEastAsia" w:cstheme="minorEastAsia"/>
          <w:kern w:val="0"/>
          <w:sz w:val="22"/>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p>
      <w:pPr>
        <w:pStyle w:val="2"/>
        <w:spacing w:line="240" w:lineRule="auto"/>
        <w:ind w:firstLine="237" w:firstLineChars="66"/>
        <w:rPr>
          <w:rFonts w:hint="eastAsia" w:asciiTheme="minorEastAsia" w:hAnsiTheme="minorEastAsia" w:eastAsiaTheme="minorEastAsia" w:cstheme="minorEastAsia"/>
          <w:b w:val="0"/>
          <w:bCs w:val="0"/>
          <w:sz w:val="36"/>
          <w:szCs w:val="36"/>
          <w:lang w:eastAsia="zh-CN"/>
        </w:rPr>
      </w:pPr>
      <w:bookmarkStart w:id="23" w:name="_Toc17789"/>
      <w:bookmarkStart w:id="24" w:name="_Toc525637072"/>
      <w:r>
        <w:rPr>
          <w:rFonts w:hint="eastAsia" w:asciiTheme="minorEastAsia" w:hAnsiTheme="minorEastAsia" w:eastAsiaTheme="minorEastAsia" w:cstheme="minorEastAsia"/>
          <w:b w:val="0"/>
          <w:bCs w:val="0"/>
          <w:sz w:val="36"/>
          <w:szCs w:val="36"/>
        </w:rPr>
        <w:t>附件</w:t>
      </w:r>
      <w:r>
        <w:rPr>
          <w:rFonts w:hint="eastAsia" w:asciiTheme="minorEastAsia" w:hAnsiTheme="minorEastAsia" w:eastAsiaTheme="minorEastAsia" w:cstheme="minorEastAsia"/>
          <w:b w:val="0"/>
          <w:bCs w:val="0"/>
          <w:sz w:val="36"/>
          <w:szCs w:val="36"/>
          <w:lang w:eastAsia="zh-CN"/>
        </w:rPr>
        <w:t>六</w:t>
      </w:r>
      <w:bookmarkEnd w:id="23"/>
    </w:p>
    <w:p>
      <w:pPr>
        <w:ind w:firstLine="342" w:firstLineChars="95"/>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影像资料</w:t>
      </w:r>
      <w:bookmarkEnd w:id="24"/>
    </w:p>
    <w:p>
      <w:pPr>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1.验收小组技术验收及实地抽查验收</w:t>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305050" cy="3072765"/>
            <wp:effectExtent l="19050" t="0" r="0" b="0"/>
            <wp:docPr id="2" name="图片 2" descr="E:\电信普遍服务检查\第三批电信普遍服务验收报告\甘南移动\甘南州\夏河县\甘加乡八角城村\IMG_20190408_14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电信普遍服务检查\第三批电信普遍服务验收报告\甘南移动\甘南州\夏河县\甘加乡八角城村\IMG_20190408_143905.jpg"/>
                    <pic:cNvPicPr>
                      <a:picLocks noChangeAspect="1" noChangeArrowheads="1"/>
                    </pic:cNvPicPr>
                  </pic:nvPicPr>
                  <pic:blipFill>
                    <a:blip r:embed="rId13" cstate="print"/>
                    <a:srcRect/>
                    <a:stretch>
                      <a:fillRect/>
                    </a:stretch>
                  </pic:blipFill>
                  <pic:spPr>
                    <a:xfrm>
                      <a:off x="0" y="0"/>
                      <a:ext cx="2308465" cy="3077952"/>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296795" cy="3063240"/>
            <wp:effectExtent l="0" t="0" r="8255" b="3810"/>
            <wp:docPr id="3" name="图片 3" descr="E:\电信普遍服务检查\第三批电信普遍服务验收报告\甘南移动\甘南州\夏河县\甘加乡八角城村\IMG_20190408_15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电信普遍服务检查\第三批电信普遍服务验收报告\甘南移动\甘南州\夏河县\甘加乡八角城村\IMG_20190408_152609.jpg"/>
                    <pic:cNvPicPr>
                      <a:picLocks noChangeAspect="1" noChangeArrowheads="1"/>
                    </pic:cNvPicPr>
                  </pic:nvPicPr>
                  <pic:blipFill>
                    <a:blip r:embed="rId14" cstate="print"/>
                    <a:srcRect/>
                    <a:stretch>
                      <a:fillRect/>
                    </a:stretch>
                  </pic:blipFill>
                  <pic:spPr>
                    <a:xfrm>
                      <a:off x="0" y="0"/>
                      <a:ext cx="2296795" cy="3063240"/>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247900" cy="3691255"/>
            <wp:effectExtent l="19050" t="0" r="0" b="0"/>
            <wp:docPr id="4" name="图片 4" descr="E:\电信普遍服务检查\第三批电信普遍服务验收报告\甘南移动\甘南州\夏河县\甘加乡作海村\mmexport155490775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电信普遍服务检查\第三批电信普遍服务验收报告\甘南移动\甘南州\夏河县\甘加乡作海村\mmexport1554907751308.jpg"/>
                    <pic:cNvPicPr>
                      <a:picLocks noChangeAspect="1" noChangeArrowheads="1"/>
                    </pic:cNvPicPr>
                  </pic:nvPicPr>
                  <pic:blipFill>
                    <a:blip r:embed="rId15" cstate="print"/>
                    <a:srcRect/>
                    <a:stretch>
                      <a:fillRect/>
                    </a:stretch>
                  </pic:blipFill>
                  <pic:spPr>
                    <a:xfrm>
                      <a:off x="0" y="0"/>
                      <a:ext cx="2248847" cy="3693022"/>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343150" cy="3695700"/>
            <wp:effectExtent l="19050" t="0" r="0" b="0"/>
            <wp:docPr id="5" name="图片 5" descr="E:\电信普遍服务检查\第三批电信普遍服务验收报告\甘南移动\甘南州\夏河县\博拉乡吾乎扎村\IMG_20190411_12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电信普遍服务检查\第三批电信普遍服务验收报告\甘南移动\甘南州\夏河县\博拉乡吾乎扎村\IMG_20190411_125733.jpg"/>
                    <pic:cNvPicPr>
                      <a:picLocks noChangeAspect="1" noChangeArrowheads="1"/>
                    </pic:cNvPicPr>
                  </pic:nvPicPr>
                  <pic:blipFill>
                    <a:blip r:embed="rId16" cstate="print"/>
                    <a:srcRect/>
                    <a:stretch>
                      <a:fillRect/>
                    </a:stretch>
                  </pic:blipFill>
                  <pic:spPr>
                    <a:xfrm>
                      <a:off x="0" y="0"/>
                      <a:ext cx="2344670" cy="3698097"/>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578100" cy="1933575"/>
            <wp:effectExtent l="19050" t="0" r="0" b="0"/>
            <wp:docPr id="6" name="图片 6" descr="E:\电信普遍服务检查\第三批电信普遍服务验收报告\甘南移动\甘南州\夏河县\博拉乡玉华村\IMG_20190411_14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电信普遍服务检查\第三批电信普遍服务验收报告\甘南移动\甘南州\夏河县\博拉乡玉华村\IMG_20190411_143453.jpg"/>
                    <pic:cNvPicPr>
                      <a:picLocks noChangeAspect="1" noChangeArrowheads="1"/>
                    </pic:cNvPicPr>
                  </pic:nvPicPr>
                  <pic:blipFill>
                    <a:blip r:embed="rId17" cstate="print"/>
                    <a:srcRect/>
                    <a:stretch>
                      <a:fillRect/>
                    </a:stretch>
                  </pic:blipFill>
                  <pic:spPr>
                    <a:xfrm>
                      <a:off x="0" y="0"/>
                      <a:ext cx="2579964" cy="1934973"/>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rPr>
        <w:drawing>
          <wp:inline distT="0" distB="0" distL="0" distR="0">
            <wp:extent cx="2574925" cy="1931035"/>
            <wp:effectExtent l="19050" t="0" r="0" b="0"/>
            <wp:docPr id="8" name="图片 7" descr="E:\电信普遍服务检查\第三批电信普遍服务验收报告\甘南移动\甘南州\临潭县\洮滨乡马旦沟村\IMG_20190410_12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E:\电信普遍服务检查\第三批电信普遍服务验收报告\甘南移动\甘南州\临潭县\洮滨乡马旦沟村\IMG_20190410_120034.jpg"/>
                    <pic:cNvPicPr>
                      <a:picLocks noChangeAspect="1" noChangeArrowheads="1"/>
                    </pic:cNvPicPr>
                  </pic:nvPicPr>
                  <pic:blipFill>
                    <a:blip r:embed="rId18" cstate="print"/>
                    <a:srcRect/>
                    <a:stretch>
                      <a:fillRect/>
                    </a:stretch>
                  </pic:blipFill>
                  <pic:spPr>
                    <a:xfrm>
                      <a:off x="0" y="0"/>
                      <a:ext cx="2576787" cy="1932591"/>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Cs w:val="21"/>
        </w:rPr>
      </w:pP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581275" cy="1935480"/>
            <wp:effectExtent l="19050" t="0" r="0" b="0"/>
            <wp:docPr id="9" name="图片 8" descr="E:\电信普遍服务检查\第三批电信普遍服务验收报告\甘南移动\甘南州\临潭县\新城镇口子下村\IMG_20190410_1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电信普遍服务检查\第三批电信普遍服务验收报告\甘南移动\甘南州\临潭县\新城镇口子下村\IMG_20190410_124002.jpg"/>
                    <pic:cNvPicPr>
                      <a:picLocks noChangeAspect="1" noChangeArrowheads="1"/>
                    </pic:cNvPicPr>
                  </pic:nvPicPr>
                  <pic:blipFill>
                    <a:blip r:embed="rId19" cstate="print"/>
                    <a:srcRect/>
                    <a:stretch>
                      <a:fillRect/>
                    </a:stretch>
                  </pic:blipFill>
                  <pic:spPr>
                    <a:xfrm>
                      <a:off x="0" y="0"/>
                      <a:ext cx="2583141" cy="1937357"/>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rPr>
        <w:drawing>
          <wp:inline distT="0" distB="0" distL="0" distR="0">
            <wp:extent cx="2600325" cy="1950085"/>
            <wp:effectExtent l="19050" t="0" r="9525" b="0"/>
            <wp:docPr id="10" name="图片 9" descr="E:\电信普遍服务检查\第三批电信普遍服务验收报告\甘南移动\甘南州\临潭县\新城镇口子下村\IMG_20190410_12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电信普遍服务检查\第三批电信普遍服务验收报告\甘南移动\甘南州\临潭县\新城镇口子下村\IMG_20190410_124219.jpg"/>
                    <pic:cNvPicPr>
                      <a:picLocks noChangeAspect="1" noChangeArrowheads="1"/>
                    </pic:cNvPicPr>
                  </pic:nvPicPr>
                  <pic:blipFill>
                    <a:blip r:embed="rId20" cstate="print"/>
                    <a:srcRect/>
                    <a:stretch>
                      <a:fillRect/>
                    </a:stretch>
                  </pic:blipFill>
                  <pic:spPr>
                    <a:xfrm>
                      <a:off x="0" y="0"/>
                      <a:ext cx="2602205" cy="1951654"/>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18"/>
          <w:szCs w:val="18"/>
        </w:rPr>
      </w:pP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590800" cy="1943100"/>
            <wp:effectExtent l="19050" t="0" r="0" b="0"/>
            <wp:docPr id="11" name="图片 10" descr="E:\电信普遍服务检查\第三批电信普遍服务验收报告\甘南移动\甘南州\临潭县\新城镇下川村\IMG_20190410_1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E:\电信普遍服务检查\第三批电信普遍服务验收报告\甘南移动\甘南州\临潭县\新城镇下川村\IMG_20190410_132431.jpg"/>
                    <pic:cNvPicPr>
                      <a:picLocks noChangeAspect="1" noChangeArrowheads="1"/>
                    </pic:cNvPicPr>
                  </pic:nvPicPr>
                  <pic:blipFill>
                    <a:blip r:embed="rId21" cstate="print"/>
                    <a:srcRect/>
                    <a:stretch>
                      <a:fillRect/>
                    </a:stretch>
                  </pic:blipFill>
                  <pic:spPr>
                    <a:xfrm>
                      <a:off x="0" y="0"/>
                      <a:ext cx="2592673" cy="194450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rPr>
        <w:drawing>
          <wp:inline distT="0" distB="0" distL="0" distR="0">
            <wp:extent cx="2587625" cy="1940560"/>
            <wp:effectExtent l="19050" t="0" r="3175" b="0"/>
            <wp:docPr id="12" name="图片 11" descr="E:\电信普遍服务检查\第三批电信普遍服务验收报告\甘南移动\甘南州\碌曲县\玛艾镇红科村\IMG_20190411_16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电信普遍服务检查\第三批电信普遍服务验收报告\甘南移动\甘南州\碌曲县\玛艾镇红科村\IMG_20190411_161325.jpg"/>
                    <pic:cNvPicPr>
                      <a:picLocks noChangeAspect="1" noChangeArrowheads="1"/>
                    </pic:cNvPicPr>
                  </pic:nvPicPr>
                  <pic:blipFill>
                    <a:blip r:embed="rId22" cstate="print"/>
                    <a:srcRect/>
                    <a:stretch>
                      <a:fillRect/>
                    </a:stretch>
                  </pic:blipFill>
                  <pic:spPr>
                    <a:xfrm>
                      <a:off x="0" y="0"/>
                      <a:ext cx="2589495" cy="1942122"/>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18"/>
          <w:szCs w:val="18"/>
        </w:rPr>
      </w:pP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600325" cy="1950085"/>
            <wp:effectExtent l="19050" t="0" r="9525" b="0"/>
            <wp:docPr id="13" name="图片 12" descr="E:\电信普遍服务检查\第三批电信普遍服务验收报告\甘南移动\甘南州\碌曲县\西仓乡唐龙多村\IMG_20190411_17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E:\电信普遍服务检查\第三批电信普遍服务验收报告\甘南移动\甘南州\碌曲县\西仓乡唐龙多村\IMG_20190411_174104.jpg"/>
                    <pic:cNvPicPr>
                      <a:picLocks noChangeAspect="1" noChangeArrowheads="1"/>
                    </pic:cNvPicPr>
                  </pic:nvPicPr>
                  <pic:blipFill>
                    <a:blip r:embed="rId23" cstate="print"/>
                    <a:srcRect/>
                    <a:stretch>
                      <a:fillRect/>
                    </a:stretch>
                  </pic:blipFill>
                  <pic:spPr>
                    <a:xfrm>
                      <a:off x="0" y="0"/>
                      <a:ext cx="2602205" cy="1951654"/>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rPr>
        <w:drawing>
          <wp:inline distT="0" distB="0" distL="0" distR="0">
            <wp:extent cx="2600325" cy="1950085"/>
            <wp:effectExtent l="19050" t="0" r="9525" b="0"/>
            <wp:docPr id="14" name="图片 13" descr="E:\电信普遍服务检查\第三批电信普遍服务验收报告\甘南移动\甘南州\卓尼县\阿子滩乡达架村\IMG_20190409_16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E:\电信普遍服务检查\第三批电信普遍服务验收报告\甘南移动\甘南州\卓尼县\阿子滩乡达架村\IMG_20190409_165132.jpg"/>
                    <pic:cNvPicPr>
                      <a:picLocks noChangeAspect="1" noChangeArrowheads="1"/>
                    </pic:cNvPicPr>
                  </pic:nvPicPr>
                  <pic:blipFill>
                    <a:blip r:embed="rId24" cstate="print"/>
                    <a:srcRect/>
                    <a:stretch>
                      <a:fillRect/>
                    </a:stretch>
                  </pic:blipFill>
                  <pic:spPr>
                    <a:xfrm>
                      <a:off x="0" y="0"/>
                      <a:ext cx="2602205" cy="1951654"/>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135505" cy="2847975"/>
            <wp:effectExtent l="19050" t="0" r="0" b="0"/>
            <wp:docPr id="15" name="图片 14" descr="E:\电信普遍服务检查\第三批电信普遍服务验收报告\甘南移动\甘南州\卓尼县\扎古录乡赛如那村\IMG_20190411_1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E:\电信普遍服务检查\第三批电信普遍服务验收报告\甘南移动\甘南州\卓尼县\扎古录乡赛如那村\IMG_20190411_111933.jpg"/>
                    <pic:cNvPicPr>
                      <a:picLocks noChangeAspect="1" noChangeArrowheads="1"/>
                    </pic:cNvPicPr>
                  </pic:nvPicPr>
                  <pic:blipFill>
                    <a:blip r:embed="rId25" cstate="print"/>
                    <a:srcRect/>
                    <a:stretch>
                      <a:fillRect/>
                    </a:stretch>
                  </pic:blipFill>
                  <pic:spPr>
                    <a:xfrm>
                      <a:off x="0" y="0"/>
                      <a:ext cx="2136882" cy="284917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095500" cy="2857500"/>
            <wp:effectExtent l="0" t="0" r="0" b="0"/>
            <wp:docPr id="16" name="图片 15" descr="E:\电信普遍服务检查\第三批电信普遍服务验收报告\甘南移动\甘南州\mmexport155490707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E:\电信普遍服务检查\第三批电信普遍服务验收报告\甘南移动\甘南州\mmexport1554907076331.jpg"/>
                    <pic:cNvPicPr>
                      <a:picLocks noChangeAspect="1" noChangeArrowheads="1"/>
                    </pic:cNvPicPr>
                  </pic:nvPicPr>
                  <pic:blipFill>
                    <a:blip r:embed="rId26" cstate="print"/>
                    <a:srcRect/>
                    <a:stretch>
                      <a:fillRect/>
                    </a:stretch>
                  </pic:blipFill>
                  <pic:spPr>
                    <a:xfrm>
                      <a:off x="0" y="0"/>
                      <a:ext cx="2099489" cy="2862940"/>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105025" cy="2806700"/>
            <wp:effectExtent l="19050" t="0" r="9525" b="0"/>
            <wp:docPr id="17" name="图片 16" descr="E:\电信普遍服务检查\第三批电信普遍服务验收报告\甘南移动\甘南州\临潭县\新城镇口子下村\IMG_20190410_12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E:\电信普遍服务检查\第三批电信普遍服务验收报告\甘南移动\甘南州\临潭县\新城镇口子下村\IMG_20190410_124758.jpg"/>
                    <pic:cNvPicPr>
                      <a:picLocks noChangeAspect="1" noChangeArrowheads="1"/>
                    </pic:cNvPicPr>
                  </pic:nvPicPr>
                  <pic:blipFill>
                    <a:blip r:embed="rId27" cstate="print"/>
                    <a:srcRect/>
                    <a:stretch>
                      <a:fillRect/>
                    </a:stretch>
                  </pic:blipFill>
                  <pic:spPr>
                    <a:xfrm>
                      <a:off x="0" y="0"/>
                      <a:ext cx="2105912" cy="2807883"/>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099945" cy="2800350"/>
            <wp:effectExtent l="19050" t="0" r="0" b="0"/>
            <wp:docPr id="18" name="图片 17" descr="E:\电信普遍服务检查\第三批电信普遍服务验收报告\甘南移动\甘南州\临潭县\新城镇下川村\IMG_20190410_13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E:\电信普遍服务检查\第三批电信普遍服务验收报告\甘南移动\甘南州\临潭县\新城镇下川村\IMG_20190410_133107.jpg"/>
                    <pic:cNvPicPr>
                      <a:picLocks noChangeAspect="1" noChangeArrowheads="1"/>
                    </pic:cNvPicPr>
                  </pic:nvPicPr>
                  <pic:blipFill>
                    <a:blip r:embed="rId28" cstate="print"/>
                    <a:srcRect/>
                    <a:stretch>
                      <a:fillRect/>
                    </a:stretch>
                  </pic:blipFill>
                  <pic:spPr>
                    <a:xfrm>
                      <a:off x="0" y="0"/>
                      <a:ext cx="2101147" cy="2801530"/>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105025" cy="2806700"/>
            <wp:effectExtent l="19050" t="0" r="9525" b="0"/>
            <wp:docPr id="19" name="图片 18" descr="E:\电信普遍服务检查\第三批电信普遍服务验收报告\甘南移动\甘南州\临潭县\长川乡冯旗村\IMG_20190410_15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E:\电信普遍服务检查\第三批电信普遍服务验收报告\甘南移动\甘南州\临潭县\长川乡冯旗村\IMG_20190410_155721.jpg"/>
                    <pic:cNvPicPr>
                      <a:picLocks noChangeAspect="1" noChangeArrowheads="1"/>
                    </pic:cNvPicPr>
                  </pic:nvPicPr>
                  <pic:blipFill>
                    <a:blip r:embed="rId29" cstate="print"/>
                    <a:srcRect/>
                    <a:stretch>
                      <a:fillRect/>
                    </a:stretch>
                  </pic:blipFill>
                  <pic:spPr>
                    <a:xfrm>
                      <a:off x="0" y="0"/>
                      <a:ext cx="2105912" cy="2807884"/>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143125" cy="2794000"/>
            <wp:effectExtent l="0" t="0" r="0" b="0"/>
            <wp:docPr id="20" name="图片 19" descr="E:\电信普遍服务检查\第三批电信普遍服务验收报告\甘南移动\甘南州\夏河县\博拉乡吾乎扎村\IMG_20190411_1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E:\电信普遍服务检查\第三批电信普遍服务验收报告\甘南移动\甘南州\夏河县\博拉乡吾乎扎村\IMG_20190411_130004.jpg"/>
                    <pic:cNvPicPr>
                      <a:picLocks noChangeAspect="1" noChangeArrowheads="1"/>
                    </pic:cNvPicPr>
                  </pic:nvPicPr>
                  <pic:blipFill>
                    <a:blip r:embed="rId30" cstate="print"/>
                    <a:srcRect/>
                    <a:stretch>
                      <a:fillRect/>
                    </a:stretch>
                  </pic:blipFill>
                  <pic:spPr>
                    <a:xfrm>
                      <a:off x="0" y="0"/>
                      <a:ext cx="2148900" cy="2801531"/>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609850" cy="1957070"/>
            <wp:effectExtent l="19050" t="0" r="0" b="0"/>
            <wp:docPr id="21" name="图片 20" descr="E:\电信普遍服务检查\第三批电信普遍服务验收报告\甘南移动\甘南州\mmexport15549070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E:\电信普遍服务检查\第三批电信普遍服务验收报告\甘南移动\甘南州\mmexport1554907056546.jpg"/>
                    <pic:cNvPicPr>
                      <a:picLocks noChangeAspect="1" noChangeArrowheads="1"/>
                    </pic:cNvPicPr>
                  </pic:nvPicPr>
                  <pic:blipFill>
                    <a:blip r:embed="rId31" cstate="print"/>
                    <a:srcRect/>
                    <a:stretch>
                      <a:fillRect/>
                    </a:stretch>
                  </pic:blipFill>
                  <pic:spPr>
                    <a:xfrm>
                      <a:off x="0" y="0"/>
                      <a:ext cx="2611737" cy="1958803"/>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rPr>
        <w:drawing>
          <wp:inline distT="0" distB="0" distL="0" distR="0">
            <wp:extent cx="2609850" cy="1957070"/>
            <wp:effectExtent l="19050" t="0" r="0" b="0"/>
            <wp:docPr id="23" name="图片 22" descr="E:\电信普遍服务检查\第三批电信普遍服务验收报告\甘南移动\甘南州\临潭县\新城镇口子下村\IMG_20190410_12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E:\电信普遍服务检查\第三批电信普遍服务验收报告\甘南移动\甘南州\临潭县\新城镇口子下村\IMG_20190410_124205.jpg"/>
                    <pic:cNvPicPr>
                      <a:picLocks noChangeAspect="1" noChangeArrowheads="1"/>
                    </pic:cNvPicPr>
                  </pic:nvPicPr>
                  <pic:blipFill>
                    <a:blip r:embed="rId32" cstate="print"/>
                    <a:srcRect/>
                    <a:stretch>
                      <a:fillRect/>
                    </a:stretch>
                  </pic:blipFill>
                  <pic:spPr>
                    <a:xfrm>
                      <a:off x="0" y="0"/>
                      <a:ext cx="2611737" cy="1958803"/>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524125" cy="3521710"/>
            <wp:effectExtent l="0" t="0" r="0" b="0"/>
            <wp:docPr id="22" name="图片 21" descr="E:\电信普遍服务检查\第三批电信普遍服务验收报告\甘南移动\甘南州\临潭县\新城镇口子下村\mmexport155487489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E:\电信普遍服务检查\第三批电信普遍服务验收报告\甘南移动\甘南州\临潭县\新城镇口子下村\mmexport1554874895833.jpg"/>
                    <pic:cNvPicPr>
                      <a:picLocks noChangeAspect="1" noChangeArrowheads="1"/>
                    </pic:cNvPicPr>
                  </pic:nvPicPr>
                  <pic:blipFill>
                    <a:blip r:embed="rId33" cstate="print"/>
                    <a:srcRect/>
                    <a:stretch>
                      <a:fillRect/>
                    </a:stretch>
                  </pic:blipFill>
                  <pic:spPr>
                    <a:xfrm>
                      <a:off x="0" y="0"/>
                      <a:ext cx="2525825" cy="3524507"/>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524125" cy="3524250"/>
            <wp:effectExtent l="0" t="0" r="0" b="0"/>
            <wp:docPr id="24" name="图片 23" descr="E:\电信普遍服务检查\第三批电信普遍服务验收报告\甘南移动\甘南州\临潭县\新城镇下川村\IMG_20190410_13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E:\电信普遍服务检查\第三批电信普遍服务验收报告\甘南移动\甘南州\临潭县\新城镇下川村\IMG_20190410_132425.jpg"/>
                    <pic:cNvPicPr>
                      <a:picLocks noChangeAspect="1" noChangeArrowheads="1"/>
                    </pic:cNvPicPr>
                  </pic:nvPicPr>
                  <pic:blipFill>
                    <a:blip r:embed="rId34" cstate="print"/>
                    <a:srcRect/>
                    <a:stretch>
                      <a:fillRect/>
                    </a:stretch>
                  </pic:blipFill>
                  <pic:spPr>
                    <a:xfrm>
                      <a:off x="0" y="0"/>
                      <a:ext cx="2524125" cy="3524250"/>
                    </a:xfrm>
                    <a:prstGeom prst="rect">
                      <a:avLst/>
                    </a:prstGeom>
                    <a:noFill/>
                    <a:ln w="9525">
                      <a:noFill/>
                      <a:miter lim="800000"/>
                      <a:headEnd/>
                      <a:tailEnd/>
                    </a:ln>
                  </pic:spPr>
                </pic:pic>
              </a:graphicData>
            </a:graphic>
          </wp:inline>
        </w:drawing>
      </w:r>
    </w:p>
    <w:p>
      <w:pPr>
        <w:ind w:firstLine="0" w:firstLineChars="0"/>
        <w:rPr>
          <w:rFonts w:hint="eastAsia" w:asciiTheme="minorEastAsia" w:hAnsiTheme="minorEastAsia" w:eastAsiaTheme="minorEastAsia" w:cstheme="minorEastAsia"/>
          <w:b/>
          <w:bCs/>
          <w:kern w:val="44"/>
          <w:sz w:val="30"/>
          <w:szCs w:val="30"/>
        </w:rPr>
      </w:pPr>
      <w:r>
        <w:rPr>
          <w:rFonts w:hint="eastAsia" w:asciiTheme="minorEastAsia" w:hAnsiTheme="minorEastAsia" w:eastAsiaTheme="minorEastAsia" w:cstheme="minorEastAsia"/>
          <w:b/>
          <w:bCs/>
          <w:kern w:val="44"/>
          <w:sz w:val="30"/>
          <w:szCs w:val="30"/>
        </w:rPr>
        <w:drawing>
          <wp:inline distT="0" distB="0" distL="0" distR="0">
            <wp:extent cx="2524125" cy="3190240"/>
            <wp:effectExtent l="0" t="0" r="9525" b="10160"/>
            <wp:docPr id="25" name="图片 24" descr="E:\电信普遍服务检查\第三批电信普遍服务验收报告\甘南移动\甘南州\卓尼县\扎古录乡赛如那村\IMG_20190411_10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E:\电信普遍服务检查\第三批电信普遍服务验收报告\甘南移动\甘南州\卓尼县\扎古录乡赛如那村\IMG_20190411_105545.jpg"/>
                    <pic:cNvPicPr>
                      <a:picLocks noChangeAspect="1" noChangeArrowheads="1"/>
                    </pic:cNvPicPr>
                  </pic:nvPicPr>
                  <pic:blipFill>
                    <a:blip r:embed="rId35" cstate="print"/>
                    <a:srcRect/>
                    <a:stretch>
                      <a:fillRect/>
                    </a:stretch>
                  </pic:blipFill>
                  <pic:spPr>
                    <a:xfrm>
                      <a:off x="0" y="0"/>
                      <a:ext cx="2525188" cy="319024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bCs/>
          <w:kern w:val="44"/>
          <w:sz w:val="30"/>
          <w:szCs w:val="30"/>
          <w:lang w:val="en-US" w:eastAsia="zh-CN"/>
        </w:rPr>
        <w:t xml:space="preserve">  </w:t>
      </w:r>
      <w:r>
        <w:rPr>
          <w:rFonts w:hint="eastAsia" w:asciiTheme="minorEastAsia" w:hAnsiTheme="minorEastAsia" w:eastAsiaTheme="minorEastAsia" w:cstheme="minorEastAsia"/>
          <w:b/>
          <w:bCs/>
          <w:kern w:val="44"/>
          <w:sz w:val="30"/>
          <w:szCs w:val="30"/>
        </w:rPr>
        <w:drawing>
          <wp:inline distT="0" distB="0" distL="0" distR="0">
            <wp:extent cx="2524125" cy="3200400"/>
            <wp:effectExtent l="0" t="0" r="0" b="0"/>
            <wp:docPr id="26" name="图片 25" descr="E:\电信普遍服务检查\第三批电信普遍服务验收报告\甘南移动\甘南州\卓尼县\扎古录乡赛如那村\IMG_20190411_1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E:\电信普遍服务检查\第三批电信普遍服务验收报告\甘南移动\甘南州\卓尼县\扎古录乡赛如那村\IMG_20190411_111324.jpg"/>
                    <pic:cNvPicPr>
                      <a:picLocks noChangeAspect="1" noChangeArrowheads="1"/>
                    </pic:cNvPicPr>
                  </pic:nvPicPr>
                  <pic:blipFill>
                    <a:blip r:embed="rId36" cstate="print"/>
                    <a:srcRect/>
                    <a:stretch>
                      <a:fillRect/>
                    </a:stretch>
                  </pic:blipFill>
                  <pic:spPr>
                    <a:xfrm>
                      <a:off x="0" y="0"/>
                      <a:ext cx="2527934" cy="3205230"/>
                    </a:xfrm>
                    <a:prstGeom prst="rect">
                      <a:avLst/>
                    </a:prstGeom>
                    <a:noFill/>
                    <a:ln w="9525">
                      <a:noFill/>
                      <a:miter lim="800000"/>
                      <a:headEnd/>
                      <a:tailEnd/>
                    </a:ln>
                  </pic:spPr>
                </pic:pic>
              </a:graphicData>
            </a:graphic>
          </wp:inline>
        </w:drawing>
      </w:r>
    </w:p>
    <w:sectPr>
      <w:footerReference r:id="rId10" w:type="first"/>
      <w:footerReference r:id="rId9" w:type="default"/>
      <w:pgSz w:w="11906" w:h="16838"/>
      <w:pgMar w:top="1440" w:right="1800" w:bottom="1440" w:left="1800" w:header="851" w:footer="519"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97503"/>
      <w:docPartObj>
        <w:docPartGallery w:val="autotext"/>
      </w:docPartObj>
    </w:sdtPr>
    <w:sdtContent>
      <w:p>
        <w:pPr>
          <w:pStyle w:val="10"/>
          <w:ind w:firstLine="360"/>
          <w:jc w:val="center"/>
        </w:pPr>
      </w:p>
    </w:sdtContent>
  </w:sdt>
  <w:p>
    <w:pPr>
      <w:pStyle w:val="1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r>
      <mc:AlternateContent>
        <mc:Choice Requires="wps">
          <w:drawing>
            <wp:anchor distT="0" distB="0" distL="114300" distR="114300" simplePos="0" relativeHeight="251658240" behindDoc="0" locked="0" layoutInCell="1" allowOverlap="1">
              <wp:simplePos x="0" y="0"/>
              <wp:positionH relativeFrom="margin">
                <wp:posOffset>2237105</wp:posOffset>
              </wp:positionH>
              <wp:positionV relativeFrom="paragraph">
                <wp:posOffset>-346075</wp:posOffset>
              </wp:positionV>
              <wp:extent cx="889635" cy="346075"/>
              <wp:effectExtent l="0" t="0" r="0" b="0"/>
              <wp:wrapNone/>
              <wp:docPr id="7" name="Text Box 3"/>
              <wp:cNvGraphicFramePr/>
              <a:graphic xmlns:a="http://schemas.openxmlformats.org/drawingml/2006/main">
                <a:graphicData uri="http://schemas.microsoft.com/office/word/2010/wordprocessingShape">
                  <wps:wsp>
                    <wps:cNvSpPr txBox="1">
                      <a:spLocks noChangeArrowheads="1"/>
                    </wps:cNvSpPr>
                    <wps:spPr bwMode="auto">
                      <a:xfrm>
                        <a:off x="0" y="0"/>
                        <a:ext cx="889635" cy="346075"/>
                      </a:xfrm>
                      <a:prstGeom prst="rect">
                        <a:avLst/>
                      </a:prstGeom>
                      <a:noFill/>
                      <a:ln>
                        <a:noFill/>
                      </a:ln>
                    </wps:spPr>
                    <wps:txbx>
                      <w:txbxContent>
                        <w:sdt>
                          <w:sdtPr>
                            <w:rPr>
                              <w:sz w:val="28"/>
                              <w:szCs w:val="28"/>
                            </w:rPr>
                            <w:id w:val="10255493"/>
                          </w:sdtPr>
                          <w:sdtEndPr>
                            <w:rPr>
                              <w:sz w:val="28"/>
                              <w:szCs w:val="28"/>
                            </w:rPr>
                          </w:sdtEndPr>
                          <w:sdtContent>
                            <w:p>
                              <w:pPr>
                                <w:pStyle w:val="10"/>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4</w:t>
                              </w:r>
                              <w:r>
                                <w:rPr>
                                  <w:rFonts w:hint="eastAsia" w:asciiTheme="minorEastAsia" w:hAnsiTheme="minorEastAsia" w:cstheme="minorEastAsia"/>
                                  <w:sz w:val="28"/>
                                  <w:szCs w:val="28"/>
                                  <w:lang w:val="zh-CN"/>
                                </w:rPr>
                                <w:fldChar w:fldCharType="end"/>
                              </w:r>
                            </w:p>
                          </w:sdtContent>
                        </w:sdt>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left:176.15pt;margin-top:-27.25pt;height:27.25pt;width:70.05pt;mso-position-horizontal-relative:margin;mso-wrap-style:none;z-index:251658240;mso-width-relative:page;mso-height-relative:page;" filled="f" stroked="f" coordsize="21600,21600" o:gfxdata="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BQT6fWAAAACAEAAA8A&#10;AAAAAAAAAQAgAAAAIgAAAGRycy9kb3ducmV2LnhtbFBLAQIUABQAAAAIAIdO4kCFNY6i4AEAALMD&#10;AAAOAAAAAAAAAAEAIAAAACUBAABkcnMvZTJvRG9jLnhtbFBLBQYAAAAABgAGAFkBAAB3BQAAAAA=&#10;">
              <v:fill on="f" focussize="0,0"/>
              <v:stroke on="f"/>
              <v:imagedata o:title=""/>
              <o:lock v:ext="edit" aspectratio="f"/>
              <v:textbox inset="0mm,0mm,0mm,0mm" style="mso-fit-shape-to-text:t;">
                <w:txbxContent>
                  <w:sdt>
                    <w:sdtPr>
                      <w:rPr>
                        <w:sz w:val="28"/>
                        <w:szCs w:val="28"/>
                      </w:rPr>
                      <w:id w:val="10255493"/>
                    </w:sdtPr>
                    <w:sdtEndPr>
                      <w:rPr>
                        <w:sz w:val="28"/>
                        <w:szCs w:val="28"/>
                      </w:rPr>
                    </w:sdtEndPr>
                    <w:sdtContent>
                      <w:p>
                        <w:pPr>
                          <w:pStyle w:val="10"/>
                          <w:ind w:firstLine="560"/>
                          <w:jc w:val="cente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PAGE   \* MERGEFORMAT</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lang w:val="zh-CN"/>
                          </w:rPr>
                          <w:t>4</w:t>
                        </w:r>
                        <w:r>
                          <w:rPr>
                            <w:rFonts w:hint="eastAsia" w:asciiTheme="minorEastAsia" w:hAnsiTheme="minorEastAsia" w:cstheme="minorEastAsia"/>
                            <w:sz w:val="28"/>
                            <w:szCs w:val="28"/>
                            <w:lang w:val="zh-CN"/>
                          </w:rPr>
                          <w:fldChar w:fldCharType="end"/>
                        </w:r>
                      </w:p>
                    </w:sdtContent>
                  </w:sdt>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cente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p>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167"/>
        <w:tab w:val="left" w:pos="5834"/>
        <w:tab w:val="clear" w:pos="8306"/>
      </w:tabs>
      <w:spacing w:line="240" w:lineRule="auto"/>
      <w:ind w:firstLine="0" w:firstLineChars="0"/>
      <w:jc w:val="left"/>
    </w:pPr>
    <w:r>
      <w:rPr>
        <w:rFonts w:hint="eastAsia"/>
      </w:rPr>
      <w:tab/>
    </w: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C588F"/>
    <w:multiLevelType w:val="multilevel"/>
    <w:tmpl w:val="68FC588F"/>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9A9"/>
    <w:rsid w:val="00000D74"/>
    <w:rsid w:val="000034D0"/>
    <w:rsid w:val="000035C4"/>
    <w:rsid w:val="0000374D"/>
    <w:rsid w:val="00004B08"/>
    <w:rsid w:val="00005A0E"/>
    <w:rsid w:val="0001173D"/>
    <w:rsid w:val="00012812"/>
    <w:rsid w:val="00020D3A"/>
    <w:rsid w:val="00023DA6"/>
    <w:rsid w:val="00024086"/>
    <w:rsid w:val="00030E69"/>
    <w:rsid w:val="00032818"/>
    <w:rsid w:val="00033C99"/>
    <w:rsid w:val="00035AAA"/>
    <w:rsid w:val="00036026"/>
    <w:rsid w:val="00036668"/>
    <w:rsid w:val="0004205E"/>
    <w:rsid w:val="00042129"/>
    <w:rsid w:val="0004325D"/>
    <w:rsid w:val="000437D9"/>
    <w:rsid w:val="00043CE7"/>
    <w:rsid w:val="00044140"/>
    <w:rsid w:val="00045917"/>
    <w:rsid w:val="0004600C"/>
    <w:rsid w:val="000500F3"/>
    <w:rsid w:val="000519C4"/>
    <w:rsid w:val="00060E51"/>
    <w:rsid w:val="00062ECF"/>
    <w:rsid w:val="00067974"/>
    <w:rsid w:val="00067ED8"/>
    <w:rsid w:val="00070DAA"/>
    <w:rsid w:val="00072267"/>
    <w:rsid w:val="00073187"/>
    <w:rsid w:val="00076A48"/>
    <w:rsid w:val="00081A29"/>
    <w:rsid w:val="00083065"/>
    <w:rsid w:val="000833B2"/>
    <w:rsid w:val="00084690"/>
    <w:rsid w:val="00084D93"/>
    <w:rsid w:val="00085A19"/>
    <w:rsid w:val="00091068"/>
    <w:rsid w:val="00093325"/>
    <w:rsid w:val="000943B9"/>
    <w:rsid w:val="00094452"/>
    <w:rsid w:val="00095463"/>
    <w:rsid w:val="00095CC4"/>
    <w:rsid w:val="00097973"/>
    <w:rsid w:val="00097E58"/>
    <w:rsid w:val="000A132B"/>
    <w:rsid w:val="000A3264"/>
    <w:rsid w:val="000A4BCF"/>
    <w:rsid w:val="000A598F"/>
    <w:rsid w:val="000A5E77"/>
    <w:rsid w:val="000B146B"/>
    <w:rsid w:val="000B2199"/>
    <w:rsid w:val="000B2B38"/>
    <w:rsid w:val="000B375E"/>
    <w:rsid w:val="000B7BBA"/>
    <w:rsid w:val="000C07DF"/>
    <w:rsid w:val="000C1437"/>
    <w:rsid w:val="000C2463"/>
    <w:rsid w:val="000C483B"/>
    <w:rsid w:val="000C6A87"/>
    <w:rsid w:val="000C6AE5"/>
    <w:rsid w:val="000D035C"/>
    <w:rsid w:val="000D1547"/>
    <w:rsid w:val="000D2546"/>
    <w:rsid w:val="000D3C33"/>
    <w:rsid w:val="000D6FEA"/>
    <w:rsid w:val="000E0948"/>
    <w:rsid w:val="000E200C"/>
    <w:rsid w:val="000E65E4"/>
    <w:rsid w:val="000F18E7"/>
    <w:rsid w:val="000F1DDC"/>
    <w:rsid w:val="000F1F65"/>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34800"/>
    <w:rsid w:val="0013554A"/>
    <w:rsid w:val="00137168"/>
    <w:rsid w:val="00141448"/>
    <w:rsid w:val="001447AF"/>
    <w:rsid w:val="00144BBC"/>
    <w:rsid w:val="001515B9"/>
    <w:rsid w:val="0015208F"/>
    <w:rsid w:val="001567B8"/>
    <w:rsid w:val="00156838"/>
    <w:rsid w:val="00157926"/>
    <w:rsid w:val="00164C09"/>
    <w:rsid w:val="001706B5"/>
    <w:rsid w:val="00170815"/>
    <w:rsid w:val="00172CEF"/>
    <w:rsid w:val="00173923"/>
    <w:rsid w:val="00175DAE"/>
    <w:rsid w:val="00176A02"/>
    <w:rsid w:val="0018228C"/>
    <w:rsid w:val="00184730"/>
    <w:rsid w:val="00185F74"/>
    <w:rsid w:val="00191BD1"/>
    <w:rsid w:val="00192259"/>
    <w:rsid w:val="00194686"/>
    <w:rsid w:val="00194AE9"/>
    <w:rsid w:val="00195909"/>
    <w:rsid w:val="00195C45"/>
    <w:rsid w:val="001A2B81"/>
    <w:rsid w:val="001A5694"/>
    <w:rsid w:val="001A6835"/>
    <w:rsid w:val="001A7D53"/>
    <w:rsid w:val="001B07D8"/>
    <w:rsid w:val="001B08F3"/>
    <w:rsid w:val="001B3930"/>
    <w:rsid w:val="001B52A9"/>
    <w:rsid w:val="001C1E51"/>
    <w:rsid w:val="001C3379"/>
    <w:rsid w:val="001C368C"/>
    <w:rsid w:val="001C4851"/>
    <w:rsid w:val="001C623C"/>
    <w:rsid w:val="001D1083"/>
    <w:rsid w:val="001D1C79"/>
    <w:rsid w:val="001D25A4"/>
    <w:rsid w:val="001D2881"/>
    <w:rsid w:val="001D5139"/>
    <w:rsid w:val="001D5F5A"/>
    <w:rsid w:val="001D74FB"/>
    <w:rsid w:val="001D7DC3"/>
    <w:rsid w:val="001E3585"/>
    <w:rsid w:val="001E3EA2"/>
    <w:rsid w:val="001E51CF"/>
    <w:rsid w:val="001E5B3D"/>
    <w:rsid w:val="001E5D7A"/>
    <w:rsid w:val="001F0CCF"/>
    <w:rsid w:val="001F143B"/>
    <w:rsid w:val="001F169E"/>
    <w:rsid w:val="001F21B1"/>
    <w:rsid w:val="001F3309"/>
    <w:rsid w:val="001F3942"/>
    <w:rsid w:val="001F5B5C"/>
    <w:rsid w:val="001F60F0"/>
    <w:rsid w:val="001F7101"/>
    <w:rsid w:val="0020084C"/>
    <w:rsid w:val="002031F7"/>
    <w:rsid w:val="002034E3"/>
    <w:rsid w:val="00207C43"/>
    <w:rsid w:val="00207DFF"/>
    <w:rsid w:val="00211404"/>
    <w:rsid w:val="0021520B"/>
    <w:rsid w:val="002172FD"/>
    <w:rsid w:val="002209BA"/>
    <w:rsid w:val="00221315"/>
    <w:rsid w:val="00224CB0"/>
    <w:rsid w:val="00227536"/>
    <w:rsid w:val="002306FA"/>
    <w:rsid w:val="00230FB1"/>
    <w:rsid w:val="00231A7D"/>
    <w:rsid w:val="00232DE8"/>
    <w:rsid w:val="00234817"/>
    <w:rsid w:val="00235583"/>
    <w:rsid w:val="002423B5"/>
    <w:rsid w:val="002444C1"/>
    <w:rsid w:val="00246784"/>
    <w:rsid w:val="0025134F"/>
    <w:rsid w:val="00252B2F"/>
    <w:rsid w:val="002549C9"/>
    <w:rsid w:val="0025538D"/>
    <w:rsid w:val="00255882"/>
    <w:rsid w:val="00256F66"/>
    <w:rsid w:val="002616E2"/>
    <w:rsid w:val="00262AA1"/>
    <w:rsid w:val="0026593B"/>
    <w:rsid w:val="00267CB2"/>
    <w:rsid w:val="00270CBE"/>
    <w:rsid w:val="00272325"/>
    <w:rsid w:val="00276095"/>
    <w:rsid w:val="00280707"/>
    <w:rsid w:val="00280B67"/>
    <w:rsid w:val="00281425"/>
    <w:rsid w:val="00281BBA"/>
    <w:rsid w:val="00282351"/>
    <w:rsid w:val="00283374"/>
    <w:rsid w:val="00286BF7"/>
    <w:rsid w:val="0029159F"/>
    <w:rsid w:val="0029295E"/>
    <w:rsid w:val="0029486F"/>
    <w:rsid w:val="002A0525"/>
    <w:rsid w:val="002A0F53"/>
    <w:rsid w:val="002A22A3"/>
    <w:rsid w:val="002A2865"/>
    <w:rsid w:val="002A37E0"/>
    <w:rsid w:val="002A3F11"/>
    <w:rsid w:val="002A5B26"/>
    <w:rsid w:val="002A65B5"/>
    <w:rsid w:val="002A73DE"/>
    <w:rsid w:val="002A7414"/>
    <w:rsid w:val="002B031D"/>
    <w:rsid w:val="002B0CA1"/>
    <w:rsid w:val="002B183D"/>
    <w:rsid w:val="002B365D"/>
    <w:rsid w:val="002B5E84"/>
    <w:rsid w:val="002B645C"/>
    <w:rsid w:val="002C4C64"/>
    <w:rsid w:val="002C7D99"/>
    <w:rsid w:val="002D0C4E"/>
    <w:rsid w:val="002D3F5D"/>
    <w:rsid w:val="002D5D5C"/>
    <w:rsid w:val="002D6D3D"/>
    <w:rsid w:val="002E0235"/>
    <w:rsid w:val="002E2C9E"/>
    <w:rsid w:val="002E3D3E"/>
    <w:rsid w:val="002E3DCC"/>
    <w:rsid w:val="002E5503"/>
    <w:rsid w:val="002E70F5"/>
    <w:rsid w:val="002F13AE"/>
    <w:rsid w:val="002F20AC"/>
    <w:rsid w:val="002F56DA"/>
    <w:rsid w:val="003011E2"/>
    <w:rsid w:val="003012F0"/>
    <w:rsid w:val="00302D50"/>
    <w:rsid w:val="00306B2A"/>
    <w:rsid w:val="00306C3F"/>
    <w:rsid w:val="00312523"/>
    <w:rsid w:val="00313BA5"/>
    <w:rsid w:val="0031747D"/>
    <w:rsid w:val="00317E45"/>
    <w:rsid w:val="00320226"/>
    <w:rsid w:val="00320A18"/>
    <w:rsid w:val="0032139B"/>
    <w:rsid w:val="00330769"/>
    <w:rsid w:val="003339ED"/>
    <w:rsid w:val="00341896"/>
    <w:rsid w:val="003441F3"/>
    <w:rsid w:val="00347E72"/>
    <w:rsid w:val="00353151"/>
    <w:rsid w:val="003549FE"/>
    <w:rsid w:val="00356E3C"/>
    <w:rsid w:val="00356F26"/>
    <w:rsid w:val="00357E4F"/>
    <w:rsid w:val="00360C3F"/>
    <w:rsid w:val="00360D76"/>
    <w:rsid w:val="003617FA"/>
    <w:rsid w:val="00363473"/>
    <w:rsid w:val="00364F54"/>
    <w:rsid w:val="00372B1A"/>
    <w:rsid w:val="00377074"/>
    <w:rsid w:val="00377478"/>
    <w:rsid w:val="003776EC"/>
    <w:rsid w:val="0038014F"/>
    <w:rsid w:val="003817E8"/>
    <w:rsid w:val="00384874"/>
    <w:rsid w:val="003903C6"/>
    <w:rsid w:val="00394BAD"/>
    <w:rsid w:val="003956FE"/>
    <w:rsid w:val="003968D1"/>
    <w:rsid w:val="00396B0B"/>
    <w:rsid w:val="003A001F"/>
    <w:rsid w:val="003A078C"/>
    <w:rsid w:val="003A50CF"/>
    <w:rsid w:val="003A55A4"/>
    <w:rsid w:val="003A72ED"/>
    <w:rsid w:val="003A77C4"/>
    <w:rsid w:val="003B1CA2"/>
    <w:rsid w:val="003B5115"/>
    <w:rsid w:val="003C2E18"/>
    <w:rsid w:val="003C5A0A"/>
    <w:rsid w:val="003C5B7B"/>
    <w:rsid w:val="003C661A"/>
    <w:rsid w:val="003C6CAB"/>
    <w:rsid w:val="003C776A"/>
    <w:rsid w:val="003D167B"/>
    <w:rsid w:val="003D3CCD"/>
    <w:rsid w:val="003D4CA6"/>
    <w:rsid w:val="003D4D9C"/>
    <w:rsid w:val="003D52A4"/>
    <w:rsid w:val="003D5C4B"/>
    <w:rsid w:val="003D6A22"/>
    <w:rsid w:val="003E020C"/>
    <w:rsid w:val="003E273C"/>
    <w:rsid w:val="003E49BB"/>
    <w:rsid w:val="003E5A5B"/>
    <w:rsid w:val="003E5E48"/>
    <w:rsid w:val="003F0D34"/>
    <w:rsid w:val="003F0F0F"/>
    <w:rsid w:val="003F2279"/>
    <w:rsid w:val="003F22C4"/>
    <w:rsid w:val="003F634B"/>
    <w:rsid w:val="00400C0B"/>
    <w:rsid w:val="00401FEA"/>
    <w:rsid w:val="00402099"/>
    <w:rsid w:val="00402119"/>
    <w:rsid w:val="004039F2"/>
    <w:rsid w:val="00404A37"/>
    <w:rsid w:val="00406E77"/>
    <w:rsid w:val="00415A60"/>
    <w:rsid w:val="00416FAB"/>
    <w:rsid w:val="004171E9"/>
    <w:rsid w:val="00420A0F"/>
    <w:rsid w:val="00420A8D"/>
    <w:rsid w:val="0042273C"/>
    <w:rsid w:val="00423493"/>
    <w:rsid w:val="004235DE"/>
    <w:rsid w:val="004243ED"/>
    <w:rsid w:val="0042787C"/>
    <w:rsid w:val="00427E00"/>
    <w:rsid w:val="00431DF6"/>
    <w:rsid w:val="0043229C"/>
    <w:rsid w:val="00436CD5"/>
    <w:rsid w:val="00442A6D"/>
    <w:rsid w:val="004455DB"/>
    <w:rsid w:val="00446502"/>
    <w:rsid w:val="00447AF0"/>
    <w:rsid w:val="004516AE"/>
    <w:rsid w:val="004547AF"/>
    <w:rsid w:val="00460218"/>
    <w:rsid w:val="004619FD"/>
    <w:rsid w:val="004633F9"/>
    <w:rsid w:val="00465433"/>
    <w:rsid w:val="00470E5B"/>
    <w:rsid w:val="00473316"/>
    <w:rsid w:val="00474234"/>
    <w:rsid w:val="004744FD"/>
    <w:rsid w:val="00475A91"/>
    <w:rsid w:val="004764FB"/>
    <w:rsid w:val="00477DB8"/>
    <w:rsid w:val="00480F71"/>
    <w:rsid w:val="004811B8"/>
    <w:rsid w:val="00484243"/>
    <w:rsid w:val="00484F7A"/>
    <w:rsid w:val="00486763"/>
    <w:rsid w:val="0048747F"/>
    <w:rsid w:val="0049024F"/>
    <w:rsid w:val="004929D1"/>
    <w:rsid w:val="00493254"/>
    <w:rsid w:val="0049508C"/>
    <w:rsid w:val="00496A08"/>
    <w:rsid w:val="004976A5"/>
    <w:rsid w:val="004A00C6"/>
    <w:rsid w:val="004A251F"/>
    <w:rsid w:val="004A25B9"/>
    <w:rsid w:val="004A2845"/>
    <w:rsid w:val="004A68F6"/>
    <w:rsid w:val="004B1735"/>
    <w:rsid w:val="004B5C49"/>
    <w:rsid w:val="004C0C50"/>
    <w:rsid w:val="004C299A"/>
    <w:rsid w:val="004D1275"/>
    <w:rsid w:val="004D628C"/>
    <w:rsid w:val="004E0CA3"/>
    <w:rsid w:val="004E10EE"/>
    <w:rsid w:val="004E12A5"/>
    <w:rsid w:val="004E23E1"/>
    <w:rsid w:val="004E5162"/>
    <w:rsid w:val="004E7FC6"/>
    <w:rsid w:val="004F0B6E"/>
    <w:rsid w:val="004F0E93"/>
    <w:rsid w:val="004F1D89"/>
    <w:rsid w:val="004F364C"/>
    <w:rsid w:val="004F56E8"/>
    <w:rsid w:val="004F5ED1"/>
    <w:rsid w:val="00500358"/>
    <w:rsid w:val="00500703"/>
    <w:rsid w:val="00502E6A"/>
    <w:rsid w:val="00504D96"/>
    <w:rsid w:val="00505E14"/>
    <w:rsid w:val="00510A96"/>
    <w:rsid w:val="00513320"/>
    <w:rsid w:val="0051350F"/>
    <w:rsid w:val="005164D3"/>
    <w:rsid w:val="005244CB"/>
    <w:rsid w:val="005245D8"/>
    <w:rsid w:val="00526253"/>
    <w:rsid w:val="005263B3"/>
    <w:rsid w:val="00526B0D"/>
    <w:rsid w:val="005321A7"/>
    <w:rsid w:val="0053363C"/>
    <w:rsid w:val="0053434E"/>
    <w:rsid w:val="005343C2"/>
    <w:rsid w:val="0053663E"/>
    <w:rsid w:val="00536DB6"/>
    <w:rsid w:val="0053761C"/>
    <w:rsid w:val="0054049C"/>
    <w:rsid w:val="00540C10"/>
    <w:rsid w:val="00541F84"/>
    <w:rsid w:val="00542B7B"/>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670C"/>
    <w:rsid w:val="00577447"/>
    <w:rsid w:val="00580915"/>
    <w:rsid w:val="00581439"/>
    <w:rsid w:val="00582EF8"/>
    <w:rsid w:val="00583402"/>
    <w:rsid w:val="005845F5"/>
    <w:rsid w:val="00584AAC"/>
    <w:rsid w:val="00592258"/>
    <w:rsid w:val="005949D0"/>
    <w:rsid w:val="005959E3"/>
    <w:rsid w:val="00595CC3"/>
    <w:rsid w:val="00595F22"/>
    <w:rsid w:val="00596A81"/>
    <w:rsid w:val="005A00E0"/>
    <w:rsid w:val="005A1447"/>
    <w:rsid w:val="005A46DA"/>
    <w:rsid w:val="005A59D7"/>
    <w:rsid w:val="005A5E4F"/>
    <w:rsid w:val="005B0443"/>
    <w:rsid w:val="005B1192"/>
    <w:rsid w:val="005B33C4"/>
    <w:rsid w:val="005C3F90"/>
    <w:rsid w:val="005C4D2D"/>
    <w:rsid w:val="005C6E6E"/>
    <w:rsid w:val="005C7FE7"/>
    <w:rsid w:val="005D01A3"/>
    <w:rsid w:val="005D0D5C"/>
    <w:rsid w:val="005D1520"/>
    <w:rsid w:val="005D1D8C"/>
    <w:rsid w:val="005D322C"/>
    <w:rsid w:val="005D74F3"/>
    <w:rsid w:val="005E61D2"/>
    <w:rsid w:val="005E6377"/>
    <w:rsid w:val="005F0268"/>
    <w:rsid w:val="005F1693"/>
    <w:rsid w:val="005F1EBD"/>
    <w:rsid w:val="005F2DE2"/>
    <w:rsid w:val="005F2E7B"/>
    <w:rsid w:val="005F466A"/>
    <w:rsid w:val="005F4DAC"/>
    <w:rsid w:val="005F4EDD"/>
    <w:rsid w:val="005F4FDA"/>
    <w:rsid w:val="005F5909"/>
    <w:rsid w:val="005F66D4"/>
    <w:rsid w:val="005F7EFB"/>
    <w:rsid w:val="00600A87"/>
    <w:rsid w:val="00600C96"/>
    <w:rsid w:val="006026E0"/>
    <w:rsid w:val="006057FE"/>
    <w:rsid w:val="00606FBA"/>
    <w:rsid w:val="00610DEA"/>
    <w:rsid w:val="00610EE0"/>
    <w:rsid w:val="00611320"/>
    <w:rsid w:val="00611E37"/>
    <w:rsid w:val="006200D0"/>
    <w:rsid w:val="00623A18"/>
    <w:rsid w:val="00624229"/>
    <w:rsid w:val="006247B2"/>
    <w:rsid w:val="0062484C"/>
    <w:rsid w:val="00625259"/>
    <w:rsid w:val="00625729"/>
    <w:rsid w:val="00625A47"/>
    <w:rsid w:val="00625ED5"/>
    <w:rsid w:val="00626F02"/>
    <w:rsid w:val="00627314"/>
    <w:rsid w:val="00632DEB"/>
    <w:rsid w:val="00633236"/>
    <w:rsid w:val="00634165"/>
    <w:rsid w:val="00636E66"/>
    <w:rsid w:val="00641CEC"/>
    <w:rsid w:val="00643747"/>
    <w:rsid w:val="00643F35"/>
    <w:rsid w:val="00644E26"/>
    <w:rsid w:val="0064603E"/>
    <w:rsid w:val="006479A1"/>
    <w:rsid w:val="0065222D"/>
    <w:rsid w:val="006539FA"/>
    <w:rsid w:val="00653CB7"/>
    <w:rsid w:val="00654D98"/>
    <w:rsid w:val="0065615D"/>
    <w:rsid w:val="00656229"/>
    <w:rsid w:val="006572FB"/>
    <w:rsid w:val="0066104C"/>
    <w:rsid w:val="00661762"/>
    <w:rsid w:val="00664E11"/>
    <w:rsid w:val="00670D81"/>
    <w:rsid w:val="00670E98"/>
    <w:rsid w:val="00671275"/>
    <w:rsid w:val="00671CBF"/>
    <w:rsid w:val="00672EF1"/>
    <w:rsid w:val="006736AF"/>
    <w:rsid w:val="00677D8A"/>
    <w:rsid w:val="0068242A"/>
    <w:rsid w:val="00683D18"/>
    <w:rsid w:val="00684BEF"/>
    <w:rsid w:val="00685D3C"/>
    <w:rsid w:val="006908F6"/>
    <w:rsid w:val="00690AF2"/>
    <w:rsid w:val="0069291B"/>
    <w:rsid w:val="00692A6B"/>
    <w:rsid w:val="00694B58"/>
    <w:rsid w:val="006A2014"/>
    <w:rsid w:val="006A2ACC"/>
    <w:rsid w:val="006A5B9F"/>
    <w:rsid w:val="006B24EC"/>
    <w:rsid w:val="006B2A02"/>
    <w:rsid w:val="006B37E3"/>
    <w:rsid w:val="006B410F"/>
    <w:rsid w:val="006B4200"/>
    <w:rsid w:val="006B55F7"/>
    <w:rsid w:val="006C0482"/>
    <w:rsid w:val="006D28E5"/>
    <w:rsid w:val="006D6B4F"/>
    <w:rsid w:val="006D721A"/>
    <w:rsid w:val="006E23DF"/>
    <w:rsid w:val="006E497F"/>
    <w:rsid w:val="006E624F"/>
    <w:rsid w:val="006F1FCB"/>
    <w:rsid w:val="006F63F9"/>
    <w:rsid w:val="006F7B4A"/>
    <w:rsid w:val="00700EC0"/>
    <w:rsid w:val="00703327"/>
    <w:rsid w:val="00703D31"/>
    <w:rsid w:val="00706008"/>
    <w:rsid w:val="00707B61"/>
    <w:rsid w:val="00710A5A"/>
    <w:rsid w:val="00712D4F"/>
    <w:rsid w:val="00715ACA"/>
    <w:rsid w:val="00717F44"/>
    <w:rsid w:val="007205F2"/>
    <w:rsid w:val="007218C0"/>
    <w:rsid w:val="007247D8"/>
    <w:rsid w:val="00724A38"/>
    <w:rsid w:val="00725CAC"/>
    <w:rsid w:val="00725FB6"/>
    <w:rsid w:val="007319F9"/>
    <w:rsid w:val="00734B18"/>
    <w:rsid w:val="00735E21"/>
    <w:rsid w:val="00736675"/>
    <w:rsid w:val="0074179E"/>
    <w:rsid w:val="0074329E"/>
    <w:rsid w:val="00746294"/>
    <w:rsid w:val="0074739A"/>
    <w:rsid w:val="00747BB1"/>
    <w:rsid w:val="00754BBC"/>
    <w:rsid w:val="0075595D"/>
    <w:rsid w:val="00760ACF"/>
    <w:rsid w:val="007617E0"/>
    <w:rsid w:val="0076514C"/>
    <w:rsid w:val="00767334"/>
    <w:rsid w:val="00770DD1"/>
    <w:rsid w:val="00771EE9"/>
    <w:rsid w:val="00772774"/>
    <w:rsid w:val="0077389A"/>
    <w:rsid w:val="00776A94"/>
    <w:rsid w:val="00777D10"/>
    <w:rsid w:val="007805F2"/>
    <w:rsid w:val="00781C7D"/>
    <w:rsid w:val="007820B6"/>
    <w:rsid w:val="00782FDC"/>
    <w:rsid w:val="0078600A"/>
    <w:rsid w:val="00786714"/>
    <w:rsid w:val="00787FB2"/>
    <w:rsid w:val="007901E9"/>
    <w:rsid w:val="00791BF4"/>
    <w:rsid w:val="00791E37"/>
    <w:rsid w:val="00793151"/>
    <w:rsid w:val="00797D12"/>
    <w:rsid w:val="007A01A6"/>
    <w:rsid w:val="007A0D6F"/>
    <w:rsid w:val="007A2062"/>
    <w:rsid w:val="007A432D"/>
    <w:rsid w:val="007A6E3C"/>
    <w:rsid w:val="007A7CD0"/>
    <w:rsid w:val="007B50DC"/>
    <w:rsid w:val="007B645F"/>
    <w:rsid w:val="007B7E93"/>
    <w:rsid w:val="007C417F"/>
    <w:rsid w:val="007C48A0"/>
    <w:rsid w:val="007C6500"/>
    <w:rsid w:val="007D1EB9"/>
    <w:rsid w:val="007D25FC"/>
    <w:rsid w:val="007D3181"/>
    <w:rsid w:val="007D5F6E"/>
    <w:rsid w:val="007E0621"/>
    <w:rsid w:val="007E6889"/>
    <w:rsid w:val="007E6AB7"/>
    <w:rsid w:val="007E7B03"/>
    <w:rsid w:val="007F0325"/>
    <w:rsid w:val="007F0A19"/>
    <w:rsid w:val="007F0EA8"/>
    <w:rsid w:val="007F1CBF"/>
    <w:rsid w:val="007F54F9"/>
    <w:rsid w:val="007F6FFB"/>
    <w:rsid w:val="00801651"/>
    <w:rsid w:val="0080214C"/>
    <w:rsid w:val="008032D4"/>
    <w:rsid w:val="00806C33"/>
    <w:rsid w:val="0080705C"/>
    <w:rsid w:val="0080743D"/>
    <w:rsid w:val="00814E1A"/>
    <w:rsid w:val="008167B3"/>
    <w:rsid w:val="00820BA1"/>
    <w:rsid w:val="0082114B"/>
    <w:rsid w:val="008227A4"/>
    <w:rsid w:val="00823451"/>
    <w:rsid w:val="0083114F"/>
    <w:rsid w:val="00831B5E"/>
    <w:rsid w:val="00832860"/>
    <w:rsid w:val="00833818"/>
    <w:rsid w:val="00833E75"/>
    <w:rsid w:val="00835818"/>
    <w:rsid w:val="008359F4"/>
    <w:rsid w:val="00837088"/>
    <w:rsid w:val="008376DF"/>
    <w:rsid w:val="008402AD"/>
    <w:rsid w:val="00841379"/>
    <w:rsid w:val="00841EE2"/>
    <w:rsid w:val="008440E2"/>
    <w:rsid w:val="008449AC"/>
    <w:rsid w:val="0084662F"/>
    <w:rsid w:val="00847D92"/>
    <w:rsid w:val="0085213E"/>
    <w:rsid w:val="00855F9A"/>
    <w:rsid w:val="0085756F"/>
    <w:rsid w:val="00865FB2"/>
    <w:rsid w:val="00866288"/>
    <w:rsid w:val="00866E31"/>
    <w:rsid w:val="008737E2"/>
    <w:rsid w:val="00875029"/>
    <w:rsid w:val="008764A9"/>
    <w:rsid w:val="00880343"/>
    <w:rsid w:val="008835E9"/>
    <w:rsid w:val="008837CD"/>
    <w:rsid w:val="0089047A"/>
    <w:rsid w:val="00893F45"/>
    <w:rsid w:val="0089487F"/>
    <w:rsid w:val="00895BB2"/>
    <w:rsid w:val="00896D49"/>
    <w:rsid w:val="00897FC6"/>
    <w:rsid w:val="008A603C"/>
    <w:rsid w:val="008A64CE"/>
    <w:rsid w:val="008A73BC"/>
    <w:rsid w:val="008A7F1A"/>
    <w:rsid w:val="008B0844"/>
    <w:rsid w:val="008B09E7"/>
    <w:rsid w:val="008B5BC5"/>
    <w:rsid w:val="008B6B11"/>
    <w:rsid w:val="008C0E56"/>
    <w:rsid w:val="008C0FE6"/>
    <w:rsid w:val="008C14B9"/>
    <w:rsid w:val="008C16A1"/>
    <w:rsid w:val="008C22A2"/>
    <w:rsid w:val="008C25BC"/>
    <w:rsid w:val="008C5FC6"/>
    <w:rsid w:val="008C6C24"/>
    <w:rsid w:val="008D13B0"/>
    <w:rsid w:val="008D30CF"/>
    <w:rsid w:val="008D37FE"/>
    <w:rsid w:val="008D73F3"/>
    <w:rsid w:val="008E1BD9"/>
    <w:rsid w:val="008E72DD"/>
    <w:rsid w:val="008E7D02"/>
    <w:rsid w:val="008F1FFA"/>
    <w:rsid w:val="008F738F"/>
    <w:rsid w:val="00904664"/>
    <w:rsid w:val="0090539F"/>
    <w:rsid w:val="00910BEB"/>
    <w:rsid w:val="009115A1"/>
    <w:rsid w:val="009149F7"/>
    <w:rsid w:val="009169D0"/>
    <w:rsid w:val="00916F38"/>
    <w:rsid w:val="009204BF"/>
    <w:rsid w:val="00923CCA"/>
    <w:rsid w:val="009258CF"/>
    <w:rsid w:val="009259FA"/>
    <w:rsid w:val="00926D8C"/>
    <w:rsid w:val="009317FE"/>
    <w:rsid w:val="009337AA"/>
    <w:rsid w:val="00934657"/>
    <w:rsid w:val="00941DA3"/>
    <w:rsid w:val="009440C6"/>
    <w:rsid w:val="00944395"/>
    <w:rsid w:val="00944714"/>
    <w:rsid w:val="009475DE"/>
    <w:rsid w:val="009479DF"/>
    <w:rsid w:val="009538F1"/>
    <w:rsid w:val="0095582B"/>
    <w:rsid w:val="009634DE"/>
    <w:rsid w:val="00964B03"/>
    <w:rsid w:val="00970100"/>
    <w:rsid w:val="00971D4D"/>
    <w:rsid w:val="0097256F"/>
    <w:rsid w:val="0097296C"/>
    <w:rsid w:val="0097487D"/>
    <w:rsid w:val="0097535B"/>
    <w:rsid w:val="0097590F"/>
    <w:rsid w:val="00975F6C"/>
    <w:rsid w:val="0097691E"/>
    <w:rsid w:val="0098034B"/>
    <w:rsid w:val="00981F04"/>
    <w:rsid w:val="00982568"/>
    <w:rsid w:val="00982B72"/>
    <w:rsid w:val="00986E5D"/>
    <w:rsid w:val="00987EAC"/>
    <w:rsid w:val="00990714"/>
    <w:rsid w:val="00990715"/>
    <w:rsid w:val="00993A7F"/>
    <w:rsid w:val="009954C3"/>
    <w:rsid w:val="00995701"/>
    <w:rsid w:val="00995F9D"/>
    <w:rsid w:val="00996EBE"/>
    <w:rsid w:val="0099753A"/>
    <w:rsid w:val="009A69AF"/>
    <w:rsid w:val="009A74E9"/>
    <w:rsid w:val="009B4936"/>
    <w:rsid w:val="009B5563"/>
    <w:rsid w:val="009B76F3"/>
    <w:rsid w:val="009C00FB"/>
    <w:rsid w:val="009C20B1"/>
    <w:rsid w:val="009C2AD4"/>
    <w:rsid w:val="009C3D93"/>
    <w:rsid w:val="009D3393"/>
    <w:rsid w:val="009D5365"/>
    <w:rsid w:val="009D6CB3"/>
    <w:rsid w:val="009D6E46"/>
    <w:rsid w:val="009E095E"/>
    <w:rsid w:val="009E7964"/>
    <w:rsid w:val="009E7A3E"/>
    <w:rsid w:val="009F1D33"/>
    <w:rsid w:val="009F3100"/>
    <w:rsid w:val="009F55F8"/>
    <w:rsid w:val="009F584A"/>
    <w:rsid w:val="00A005D7"/>
    <w:rsid w:val="00A01FCD"/>
    <w:rsid w:val="00A02774"/>
    <w:rsid w:val="00A02A1A"/>
    <w:rsid w:val="00A030AA"/>
    <w:rsid w:val="00A03637"/>
    <w:rsid w:val="00A05FA1"/>
    <w:rsid w:val="00A06C7D"/>
    <w:rsid w:val="00A129A9"/>
    <w:rsid w:val="00A1495A"/>
    <w:rsid w:val="00A155AE"/>
    <w:rsid w:val="00A15E7A"/>
    <w:rsid w:val="00A1627A"/>
    <w:rsid w:val="00A169E5"/>
    <w:rsid w:val="00A2077F"/>
    <w:rsid w:val="00A20B25"/>
    <w:rsid w:val="00A21E3C"/>
    <w:rsid w:val="00A21FF8"/>
    <w:rsid w:val="00A22EA4"/>
    <w:rsid w:val="00A244A0"/>
    <w:rsid w:val="00A26AD9"/>
    <w:rsid w:val="00A311A4"/>
    <w:rsid w:val="00A411E9"/>
    <w:rsid w:val="00A416A2"/>
    <w:rsid w:val="00A42203"/>
    <w:rsid w:val="00A46A76"/>
    <w:rsid w:val="00A502E1"/>
    <w:rsid w:val="00A50E5E"/>
    <w:rsid w:val="00A5265B"/>
    <w:rsid w:val="00A538CE"/>
    <w:rsid w:val="00A55AA8"/>
    <w:rsid w:val="00A56182"/>
    <w:rsid w:val="00A60063"/>
    <w:rsid w:val="00A604C1"/>
    <w:rsid w:val="00A61020"/>
    <w:rsid w:val="00A71D04"/>
    <w:rsid w:val="00A73483"/>
    <w:rsid w:val="00A76B5F"/>
    <w:rsid w:val="00A76F25"/>
    <w:rsid w:val="00A76F89"/>
    <w:rsid w:val="00A83A33"/>
    <w:rsid w:val="00A84001"/>
    <w:rsid w:val="00A86275"/>
    <w:rsid w:val="00A906E5"/>
    <w:rsid w:val="00A91DA7"/>
    <w:rsid w:val="00A93501"/>
    <w:rsid w:val="00A962F3"/>
    <w:rsid w:val="00A97069"/>
    <w:rsid w:val="00A9776C"/>
    <w:rsid w:val="00AA09C4"/>
    <w:rsid w:val="00AA0A82"/>
    <w:rsid w:val="00AA16B6"/>
    <w:rsid w:val="00AA4ABA"/>
    <w:rsid w:val="00AA4C91"/>
    <w:rsid w:val="00AA5C8B"/>
    <w:rsid w:val="00AB02BC"/>
    <w:rsid w:val="00AB17F0"/>
    <w:rsid w:val="00AB2839"/>
    <w:rsid w:val="00AB5E1C"/>
    <w:rsid w:val="00AB6C9D"/>
    <w:rsid w:val="00AB749D"/>
    <w:rsid w:val="00AC2B99"/>
    <w:rsid w:val="00AC31DD"/>
    <w:rsid w:val="00AC4554"/>
    <w:rsid w:val="00AC5693"/>
    <w:rsid w:val="00AC5955"/>
    <w:rsid w:val="00AC62E1"/>
    <w:rsid w:val="00AD0025"/>
    <w:rsid w:val="00AD2A7F"/>
    <w:rsid w:val="00AD2BFA"/>
    <w:rsid w:val="00AD31AF"/>
    <w:rsid w:val="00AE2155"/>
    <w:rsid w:val="00AE24C8"/>
    <w:rsid w:val="00AE272F"/>
    <w:rsid w:val="00AE2D4F"/>
    <w:rsid w:val="00AF3107"/>
    <w:rsid w:val="00AF5BE9"/>
    <w:rsid w:val="00AF738F"/>
    <w:rsid w:val="00B02658"/>
    <w:rsid w:val="00B02A62"/>
    <w:rsid w:val="00B0472D"/>
    <w:rsid w:val="00B047CF"/>
    <w:rsid w:val="00B0547E"/>
    <w:rsid w:val="00B05C79"/>
    <w:rsid w:val="00B06B5F"/>
    <w:rsid w:val="00B12C36"/>
    <w:rsid w:val="00B12EC0"/>
    <w:rsid w:val="00B161CD"/>
    <w:rsid w:val="00B1643D"/>
    <w:rsid w:val="00B20509"/>
    <w:rsid w:val="00B21278"/>
    <w:rsid w:val="00B236CB"/>
    <w:rsid w:val="00B25204"/>
    <w:rsid w:val="00B26FDA"/>
    <w:rsid w:val="00B27B10"/>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7374"/>
    <w:rsid w:val="00B70873"/>
    <w:rsid w:val="00B73110"/>
    <w:rsid w:val="00B74110"/>
    <w:rsid w:val="00B74D36"/>
    <w:rsid w:val="00B74EBD"/>
    <w:rsid w:val="00B75ACF"/>
    <w:rsid w:val="00B75C5C"/>
    <w:rsid w:val="00B76D79"/>
    <w:rsid w:val="00B82FDD"/>
    <w:rsid w:val="00B870EA"/>
    <w:rsid w:val="00B87DDF"/>
    <w:rsid w:val="00B90551"/>
    <w:rsid w:val="00B94F5D"/>
    <w:rsid w:val="00B96908"/>
    <w:rsid w:val="00BA0612"/>
    <w:rsid w:val="00BA14BB"/>
    <w:rsid w:val="00BA25B5"/>
    <w:rsid w:val="00BA3D94"/>
    <w:rsid w:val="00BA5D55"/>
    <w:rsid w:val="00BB1738"/>
    <w:rsid w:val="00BB2415"/>
    <w:rsid w:val="00BB48F2"/>
    <w:rsid w:val="00BB718C"/>
    <w:rsid w:val="00BC0E3B"/>
    <w:rsid w:val="00BC4F2C"/>
    <w:rsid w:val="00BD43F3"/>
    <w:rsid w:val="00BD480F"/>
    <w:rsid w:val="00BD4901"/>
    <w:rsid w:val="00BD6148"/>
    <w:rsid w:val="00BD69F4"/>
    <w:rsid w:val="00BD725B"/>
    <w:rsid w:val="00BE01AD"/>
    <w:rsid w:val="00BE039E"/>
    <w:rsid w:val="00BE0498"/>
    <w:rsid w:val="00BE0C69"/>
    <w:rsid w:val="00BE3155"/>
    <w:rsid w:val="00BE40C9"/>
    <w:rsid w:val="00BE4FD3"/>
    <w:rsid w:val="00BE55F8"/>
    <w:rsid w:val="00BE7397"/>
    <w:rsid w:val="00BF425C"/>
    <w:rsid w:val="00C00081"/>
    <w:rsid w:val="00C058D9"/>
    <w:rsid w:val="00C11069"/>
    <w:rsid w:val="00C11351"/>
    <w:rsid w:val="00C119DD"/>
    <w:rsid w:val="00C12576"/>
    <w:rsid w:val="00C12EB8"/>
    <w:rsid w:val="00C149F2"/>
    <w:rsid w:val="00C14DDA"/>
    <w:rsid w:val="00C15D99"/>
    <w:rsid w:val="00C17CD6"/>
    <w:rsid w:val="00C211B4"/>
    <w:rsid w:val="00C22E86"/>
    <w:rsid w:val="00C25E0E"/>
    <w:rsid w:val="00C32212"/>
    <w:rsid w:val="00C40011"/>
    <w:rsid w:val="00C4035D"/>
    <w:rsid w:val="00C42A50"/>
    <w:rsid w:val="00C454EF"/>
    <w:rsid w:val="00C466E1"/>
    <w:rsid w:val="00C50C5F"/>
    <w:rsid w:val="00C50FBD"/>
    <w:rsid w:val="00C5235F"/>
    <w:rsid w:val="00C55828"/>
    <w:rsid w:val="00C56E06"/>
    <w:rsid w:val="00C572CB"/>
    <w:rsid w:val="00C6476E"/>
    <w:rsid w:val="00C64E6D"/>
    <w:rsid w:val="00C7033F"/>
    <w:rsid w:val="00C70CB8"/>
    <w:rsid w:val="00C72B12"/>
    <w:rsid w:val="00C738B0"/>
    <w:rsid w:val="00C74775"/>
    <w:rsid w:val="00C74E30"/>
    <w:rsid w:val="00C76455"/>
    <w:rsid w:val="00C8108A"/>
    <w:rsid w:val="00C81F96"/>
    <w:rsid w:val="00C8253E"/>
    <w:rsid w:val="00C82B24"/>
    <w:rsid w:val="00C84AB5"/>
    <w:rsid w:val="00C84FB4"/>
    <w:rsid w:val="00C854A8"/>
    <w:rsid w:val="00C8577E"/>
    <w:rsid w:val="00C85D0E"/>
    <w:rsid w:val="00C92E59"/>
    <w:rsid w:val="00CA57D3"/>
    <w:rsid w:val="00CB095B"/>
    <w:rsid w:val="00CB0B09"/>
    <w:rsid w:val="00CB19FF"/>
    <w:rsid w:val="00CB3E00"/>
    <w:rsid w:val="00CB48FC"/>
    <w:rsid w:val="00CB50A7"/>
    <w:rsid w:val="00CB63EE"/>
    <w:rsid w:val="00CB7940"/>
    <w:rsid w:val="00CC096D"/>
    <w:rsid w:val="00CC4796"/>
    <w:rsid w:val="00CC4C95"/>
    <w:rsid w:val="00CC6F71"/>
    <w:rsid w:val="00CD12DC"/>
    <w:rsid w:val="00CD69DE"/>
    <w:rsid w:val="00CD7BD2"/>
    <w:rsid w:val="00CE01A5"/>
    <w:rsid w:val="00CE05DF"/>
    <w:rsid w:val="00CE06B5"/>
    <w:rsid w:val="00CE1711"/>
    <w:rsid w:val="00CE2EB5"/>
    <w:rsid w:val="00CE402E"/>
    <w:rsid w:val="00CE5614"/>
    <w:rsid w:val="00CE592C"/>
    <w:rsid w:val="00CF042D"/>
    <w:rsid w:val="00CF38C2"/>
    <w:rsid w:val="00CF3B64"/>
    <w:rsid w:val="00CF47EC"/>
    <w:rsid w:val="00CF5639"/>
    <w:rsid w:val="00CF5CDB"/>
    <w:rsid w:val="00D0031F"/>
    <w:rsid w:val="00D01594"/>
    <w:rsid w:val="00D01C7A"/>
    <w:rsid w:val="00D02233"/>
    <w:rsid w:val="00D054D0"/>
    <w:rsid w:val="00D06FE1"/>
    <w:rsid w:val="00D113D5"/>
    <w:rsid w:val="00D1356E"/>
    <w:rsid w:val="00D141D4"/>
    <w:rsid w:val="00D15001"/>
    <w:rsid w:val="00D15F30"/>
    <w:rsid w:val="00D165EE"/>
    <w:rsid w:val="00D21512"/>
    <w:rsid w:val="00D2181D"/>
    <w:rsid w:val="00D236DD"/>
    <w:rsid w:val="00D23831"/>
    <w:rsid w:val="00D24B4D"/>
    <w:rsid w:val="00D25B4E"/>
    <w:rsid w:val="00D26923"/>
    <w:rsid w:val="00D26E1D"/>
    <w:rsid w:val="00D30825"/>
    <w:rsid w:val="00D325C6"/>
    <w:rsid w:val="00D33570"/>
    <w:rsid w:val="00D33DBA"/>
    <w:rsid w:val="00D405EA"/>
    <w:rsid w:val="00D51642"/>
    <w:rsid w:val="00D5189A"/>
    <w:rsid w:val="00D52D88"/>
    <w:rsid w:val="00D55337"/>
    <w:rsid w:val="00D557FF"/>
    <w:rsid w:val="00D55C59"/>
    <w:rsid w:val="00D57199"/>
    <w:rsid w:val="00D60FFA"/>
    <w:rsid w:val="00D64901"/>
    <w:rsid w:val="00D64D93"/>
    <w:rsid w:val="00D65D3F"/>
    <w:rsid w:val="00D66F6A"/>
    <w:rsid w:val="00D7104D"/>
    <w:rsid w:val="00D72B3E"/>
    <w:rsid w:val="00D73B06"/>
    <w:rsid w:val="00D75C2D"/>
    <w:rsid w:val="00D7798E"/>
    <w:rsid w:val="00D80A75"/>
    <w:rsid w:val="00D828C5"/>
    <w:rsid w:val="00D82974"/>
    <w:rsid w:val="00D83CA7"/>
    <w:rsid w:val="00D85B59"/>
    <w:rsid w:val="00D91CA9"/>
    <w:rsid w:val="00D9312D"/>
    <w:rsid w:val="00D93EF6"/>
    <w:rsid w:val="00D94672"/>
    <w:rsid w:val="00D94F51"/>
    <w:rsid w:val="00DA0615"/>
    <w:rsid w:val="00DA1F96"/>
    <w:rsid w:val="00DA4B0C"/>
    <w:rsid w:val="00DA5846"/>
    <w:rsid w:val="00DB12BE"/>
    <w:rsid w:val="00DB1969"/>
    <w:rsid w:val="00DB244B"/>
    <w:rsid w:val="00DB2561"/>
    <w:rsid w:val="00DB2DD8"/>
    <w:rsid w:val="00DB32B0"/>
    <w:rsid w:val="00DB34B3"/>
    <w:rsid w:val="00DB3B5C"/>
    <w:rsid w:val="00DB6091"/>
    <w:rsid w:val="00DB69EB"/>
    <w:rsid w:val="00DB7F09"/>
    <w:rsid w:val="00DC08B7"/>
    <w:rsid w:val="00DC1FC4"/>
    <w:rsid w:val="00DC2510"/>
    <w:rsid w:val="00DC544B"/>
    <w:rsid w:val="00DD0C89"/>
    <w:rsid w:val="00DD52CA"/>
    <w:rsid w:val="00DD60E4"/>
    <w:rsid w:val="00DE2190"/>
    <w:rsid w:val="00DE2434"/>
    <w:rsid w:val="00DE5507"/>
    <w:rsid w:val="00DF0D0E"/>
    <w:rsid w:val="00DF183A"/>
    <w:rsid w:val="00DF2B4A"/>
    <w:rsid w:val="00DF3175"/>
    <w:rsid w:val="00DF34A2"/>
    <w:rsid w:val="00DF6594"/>
    <w:rsid w:val="00DF7D40"/>
    <w:rsid w:val="00E0066A"/>
    <w:rsid w:val="00E060D1"/>
    <w:rsid w:val="00E106D3"/>
    <w:rsid w:val="00E11357"/>
    <w:rsid w:val="00E11AFE"/>
    <w:rsid w:val="00E1248E"/>
    <w:rsid w:val="00E13832"/>
    <w:rsid w:val="00E13CE0"/>
    <w:rsid w:val="00E15ACA"/>
    <w:rsid w:val="00E170CD"/>
    <w:rsid w:val="00E17A80"/>
    <w:rsid w:val="00E213D9"/>
    <w:rsid w:val="00E227D7"/>
    <w:rsid w:val="00E22C6E"/>
    <w:rsid w:val="00E22E0F"/>
    <w:rsid w:val="00E26FD4"/>
    <w:rsid w:val="00E27E92"/>
    <w:rsid w:val="00E30D86"/>
    <w:rsid w:val="00E32BD1"/>
    <w:rsid w:val="00E32C1F"/>
    <w:rsid w:val="00E35B85"/>
    <w:rsid w:val="00E41C3A"/>
    <w:rsid w:val="00E4214D"/>
    <w:rsid w:val="00E460C4"/>
    <w:rsid w:val="00E478E2"/>
    <w:rsid w:val="00E47A7B"/>
    <w:rsid w:val="00E5179F"/>
    <w:rsid w:val="00E53ADA"/>
    <w:rsid w:val="00E54C66"/>
    <w:rsid w:val="00E5624B"/>
    <w:rsid w:val="00E574F7"/>
    <w:rsid w:val="00E60AF3"/>
    <w:rsid w:val="00E62F8F"/>
    <w:rsid w:val="00E71CC1"/>
    <w:rsid w:val="00E73BB6"/>
    <w:rsid w:val="00E7460B"/>
    <w:rsid w:val="00E7508F"/>
    <w:rsid w:val="00E760F5"/>
    <w:rsid w:val="00E768BB"/>
    <w:rsid w:val="00E76ED0"/>
    <w:rsid w:val="00E82202"/>
    <w:rsid w:val="00E82257"/>
    <w:rsid w:val="00E82ACC"/>
    <w:rsid w:val="00E83110"/>
    <w:rsid w:val="00E839A9"/>
    <w:rsid w:val="00E8415E"/>
    <w:rsid w:val="00E860A6"/>
    <w:rsid w:val="00E87588"/>
    <w:rsid w:val="00E906D5"/>
    <w:rsid w:val="00E91E65"/>
    <w:rsid w:val="00E9431B"/>
    <w:rsid w:val="00E94718"/>
    <w:rsid w:val="00EA1B88"/>
    <w:rsid w:val="00EA37FE"/>
    <w:rsid w:val="00EA4C70"/>
    <w:rsid w:val="00EA6574"/>
    <w:rsid w:val="00EA7DFF"/>
    <w:rsid w:val="00EB0065"/>
    <w:rsid w:val="00EB130C"/>
    <w:rsid w:val="00EB4482"/>
    <w:rsid w:val="00EB705F"/>
    <w:rsid w:val="00EB73EB"/>
    <w:rsid w:val="00EC3C3B"/>
    <w:rsid w:val="00EC5A43"/>
    <w:rsid w:val="00EC6AA2"/>
    <w:rsid w:val="00ED2F44"/>
    <w:rsid w:val="00EE0CC1"/>
    <w:rsid w:val="00EE2EFE"/>
    <w:rsid w:val="00EE455D"/>
    <w:rsid w:val="00EE653F"/>
    <w:rsid w:val="00EE74AB"/>
    <w:rsid w:val="00EF1C00"/>
    <w:rsid w:val="00EF1D7B"/>
    <w:rsid w:val="00EF467C"/>
    <w:rsid w:val="00F013BA"/>
    <w:rsid w:val="00F01F61"/>
    <w:rsid w:val="00F03239"/>
    <w:rsid w:val="00F03AAF"/>
    <w:rsid w:val="00F04244"/>
    <w:rsid w:val="00F0604F"/>
    <w:rsid w:val="00F10AF2"/>
    <w:rsid w:val="00F14D22"/>
    <w:rsid w:val="00F17FAE"/>
    <w:rsid w:val="00F20CBE"/>
    <w:rsid w:val="00F215CE"/>
    <w:rsid w:val="00F22323"/>
    <w:rsid w:val="00F2680D"/>
    <w:rsid w:val="00F26B00"/>
    <w:rsid w:val="00F32F9A"/>
    <w:rsid w:val="00F358DB"/>
    <w:rsid w:val="00F35BBD"/>
    <w:rsid w:val="00F37180"/>
    <w:rsid w:val="00F41783"/>
    <w:rsid w:val="00F430C3"/>
    <w:rsid w:val="00F430DF"/>
    <w:rsid w:val="00F43390"/>
    <w:rsid w:val="00F434E7"/>
    <w:rsid w:val="00F45053"/>
    <w:rsid w:val="00F475AC"/>
    <w:rsid w:val="00F51EC8"/>
    <w:rsid w:val="00F5303F"/>
    <w:rsid w:val="00F53E4E"/>
    <w:rsid w:val="00F56313"/>
    <w:rsid w:val="00F63D33"/>
    <w:rsid w:val="00F63F22"/>
    <w:rsid w:val="00F64566"/>
    <w:rsid w:val="00F669C4"/>
    <w:rsid w:val="00F67757"/>
    <w:rsid w:val="00F702FD"/>
    <w:rsid w:val="00F71618"/>
    <w:rsid w:val="00F75DCA"/>
    <w:rsid w:val="00F76907"/>
    <w:rsid w:val="00F778B6"/>
    <w:rsid w:val="00F80A6C"/>
    <w:rsid w:val="00F84BD6"/>
    <w:rsid w:val="00F8576F"/>
    <w:rsid w:val="00F94372"/>
    <w:rsid w:val="00F945F7"/>
    <w:rsid w:val="00F957EA"/>
    <w:rsid w:val="00F972E0"/>
    <w:rsid w:val="00FA0549"/>
    <w:rsid w:val="00FA207C"/>
    <w:rsid w:val="00FA3B02"/>
    <w:rsid w:val="00FA4158"/>
    <w:rsid w:val="00FA4B24"/>
    <w:rsid w:val="00FA6086"/>
    <w:rsid w:val="00FA63ED"/>
    <w:rsid w:val="00FB0E21"/>
    <w:rsid w:val="00FC1FE8"/>
    <w:rsid w:val="00FC3D61"/>
    <w:rsid w:val="00FC3F81"/>
    <w:rsid w:val="00FC47D0"/>
    <w:rsid w:val="00FC4A87"/>
    <w:rsid w:val="00FC6859"/>
    <w:rsid w:val="00FD0B81"/>
    <w:rsid w:val="00FD10EA"/>
    <w:rsid w:val="00FD2025"/>
    <w:rsid w:val="00FD273A"/>
    <w:rsid w:val="00FD54F4"/>
    <w:rsid w:val="00FE050B"/>
    <w:rsid w:val="00FE19A4"/>
    <w:rsid w:val="00FE19F5"/>
    <w:rsid w:val="00FE1B69"/>
    <w:rsid w:val="00FE33F1"/>
    <w:rsid w:val="00FE4969"/>
    <w:rsid w:val="00FE4B9B"/>
    <w:rsid w:val="00FE579B"/>
    <w:rsid w:val="00FE7577"/>
    <w:rsid w:val="00FF0902"/>
    <w:rsid w:val="00FF18FA"/>
    <w:rsid w:val="00FF4B80"/>
    <w:rsid w:val="068008BF"/>
    <w:rsid w:val="08CD7B80"/>
    <w:rsid w:val="08FC2B67"/>
    <w:rsid w:val="0952387F"/>
    <w:rsid w:val="0EA373CA"/>
    <w:rsid w:val="12EE1C6A"/>
    <w:rsid w:val="13B33AFC"/>
    <w:rsid w:val="1513257F"/>
    <w:rsid w:val="159D6CA4"/>
    <w:rsid w:val="1FD10AD6"/>
    <w:rsid w:val="21F45B6F"/>
    <w:rsid w:val="22070759"/>
    <w:rsid w:val="2E8C1C3D"/>
    <w:rsid w:val="33D9320E"/>
    <w:rsid w:val="343A0EC2"/>
    <w:rsid w:val="37141058"/>
    <w:rsid w:val="38FF2841"/>
    <w:rsid w:val="3B3557C8"/>
    <w:rsid w:val="3F7C488C"/>
    <w:rsid w:val="412A6DCE"/>
    <w:rsid w:val="492313B6"/>
    <w:rsid w:val="4E4C1F1F"/>
    <w:rsid w:val="69B831CA"/>
    <w:rsid w:val="6DB00896"/>
    <w:rsid w:val="7D9C5AC1"/>
    <w:rsid w:val="7F2457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51"/>
    <w:semiHidden/>
    <w:unhideWhenUsed/>
    <w:qFormat/>
    <w:uiPriority w:val="99"/>
    <w:rPr>
      <w:rFonts w:ascii="宋体" w:eastAsia="宋体"/>
      <w:sz w:val="18"/>
      <w:szCs w:val="18"/>
    </w:rPr>
  </w:style>
  <w:style w:type="paragraph" w:styleId="6">
    <w:name w:val="annotation text"/>
    <w:basedOn w:val="1"/>
    <w:link w:val="33"/>
    <w:semiHidden/>
    <w:unhideWhenUsed/>
    <w:qFormat/>
    <w:uiPriority w:val="99"/>
    <w:pPr>
      <w:jc w:val="left"/>
    </w:p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Date"/>
    <w:basedOn w:val="1"/>
    <w:next w:val="1"/>
    <w:link w:val="25"/>
    <w:semiHidden/>
    <w:unhideWhenUsed/>
    <w:qFormat/>
    <w:uiPriority w:val="99"/>
    <w:pPr>
      <w:ind w:left="100" w:leftChars="2500"/>
    </w:pPr>
  </w:style>
  <w:style w:type="paragraph" w:styleId="9">
    <w:name w:val="Balloon Text"/>
    <w:basedOn w:val="1"/>
    <w:link w:val="21"/>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line="600" w:lineRule="auto"/>
      <w:ind w:firstLine="426" w:firstLineChars="152"/>
    </w:pPr>
  </w:style>
  <w:style w:type="paragraph" w:styleId="13">
    <w:name w:val="toc 2"/>
    <w:basedOn w:val="1"/>
    <w:next w:val="1"/>
    <w:semiHidden/>
    <w:unhideWhenUsed/>
    <w:qFormat/>
    <w:uiPriority w:val="39"/>
    <w:pPr>
      <w:widowControl/>
      <w:spacing w:after="100" w:line="276" w:lineRule="auto"/>
      <w:ind w:left="220"/>
      <w:jc w:val="left"/>
    </w:pPr>
    <w:rPr>
      <w:kern w:val="0"/>
      <w:sz w:val="22"/>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6"/>
    <w:next w:val="6"/>
    <w:link w:val="34"/>
    <w:semiHidden/>
    <w:unhideWhenUsed/>
    <w:qFormat/>
    <w:uiPriority w:val="99"/>
    <w:rPr>
      <w:b/>
      <w:bCs/>
    </w:rPr>
  </w:style>
  <w:style w:type="character" w:styleId="18">
    <w:name w:val="FollowedHyperlink"/>
    <w:basedOn w:val="17"/>
    <w:semiHidden/>
    <w:unhideWhenUsed/>
    <w:qFormat/>
    <w:uiPriority w:val="99"/>
    <w:rPr>
      <w:color w:val="800080"/>
      <w:u w:val="single"/>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批注框文本 Char"/>
    <w:basedOn w:val="17"/>
    <w:link w:val="9"/>
    <w:semiHidden/>
    <w:qFormat/>
    <w:uiPriority w:val="99"/>
    <w:rPr>
      <w:sz w:val="18"/>
      <w:szCs w:val="18"/>
    </w:rPr>
  </w:style>
  <w:style w:type="paragraph" w:styleId="22">
    <w:name w:val="List Paragraph"/>
    <w:basedOn w:val="1"/>
    <w:qFormat/>
    <w:uiPriority w:val="34"/>
    <w:pPr>
      <w:ind w:firstLine="420"/>
    </w:pPr>
  </w:style>
  <w:style w:type="character" w:customStyle="1" w:styleId="23">
    <w:name w:val="页眉 Char"/>
    <w:basedOn w:val="17"/>
    <w:link w:val="11"/>
    <w:qFormat/>
    <w:uiPriority w:val="99"/>
    <w:rPr>
      <w:sz w:val="18"/>
      <w:szCs w:val="18"/>
    </w:rPr>
  </w:style>
  <w:style w:type="character" w:customStyle="1" w:styleId="24">
    <w:name w:val="页脚 Char"/>
    <w:basedOn w:val="17"/>
    <w:link w:val="10"/>
    <w:qFormat/>
    <w:uiPriority w:val="99"/>
    <w:rPr>
      <w:sz w:val="18"/>
      <w:szCs w:val="18"/>
    </w:rPr>
  </w:style>
  <w:style w:type="character" w:customStyle="1" w:styleId="25">
    <w:name w:val="日期 Char"/>
    <w:basedOn w:val="17"/>
    <w:link w:val="8"/>
    <w:semiHidden/>
    <w:qFormat/>
    <w:uiPriority w:val="99"/>
  </w:style>
  <w:style w:type="character" w:customStyle="1" w:styleId="26">
    <w:name w:val="标题 1 Char"/>
    <w:basedOn w:val="17"/>
    <w:link w:val="2"/>
    <w:qFormat/>
    <w:uiPriority w:val="9"/>
    <w:rPr>
      <w:b/>
      <w:bCs/>
      <w:kern w:val="44"/>
      <w:sz w:val="44"/>
      <w:szCs w:val="44"/>
    </w:rPr>
  </w:style>
  <w:style w:type="paragraph" w:customStyle="1" w:styleId="2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8">
    <w:name w:val="font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9">
    <w:name w:val="font6"/>
    <w:basedOn w:val="1"/>
    <w:qFormat/>
    <w:uiPriority w:val="0"/>
    <w:pPr>
      <w:widowControl/>
      <w:spacing w:before="100" w:beforeAutospacing="1" w:after="100" w:afterAutospacing="1"/>
      <w:jc w:val="left"/>
    </w:pPr>
    <w:rPr>
      <w:rFonts w:ascii="仿宋_GB2312" w:hAnsi="宋体" w:eastAsia="仿宋_GB2312" w:cs="宋体"/>
      <w:kern w:val="0"/>
      <w:sz w:val="22"/>
    </w:rPr>
  </w:style>
  <w:style w:type="paragraph" w:customStyle="1" w:styleId="3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szCs w:val="24"/>
    </w:rPr>
  </w:style>
  <w:style w:type="character" w:customStyle="1" w:styleId="33">
    <w:name w:val="批注文字 Char"/>
    <w:basedOn w:val="17"/>
    <w:link w:val="6"/>
    <w:semiHidden/>
    <w:qFormat/>
    <w:uiPriority w:val="99"/>
  </w:style>
  <w:style w:type="character" w:customStyle="1" w:styleId="34">
    <w:name w:val="批注主题 Char"/>
    <w:basedOn w:val="33"/>
    <w:link w:val="15"/>
    <w:semiHidden/>
    <w:qFormat/>
    <w:uiPriority w:val="99"/>
    <w:rPr>
      <w:b/>
      <w:bCs/>
    </w:rPr>
  </w:style>
  <w:style w:type="character" w:customStyle="1" w:styleId="35">
    <w:name w:val="标题 3 Char"/>
    <w:basedOn w:val="17"/>
    <w:link w:val="4"/>
    <w:qFormat/>
    <w:uiPriority w:val="9"/>
    <w:rPr>
      <w:rFonts w:ascii="宋体" w:hAnsi="宋体" w:eastAsia="宋体" w:cs="宋体"/>
      <w:b/>
      <w:bCs/>
      <w:kern w:val="0"/>
      <w:sz w:val="27"/>
      <w:szCs w:val="27"/>
    </w:rPr>
  </w:style>
  <w:style w:type="paragraph" w:customStyle="1" w:styleId="3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8"/>
      <w:szCs w:val="28"/>
    </w:rPr>
  </w:style>
  <w:style w:type="paragraph" w:customStyle="1" w:styleId="3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3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4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4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3">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5">
    <w:name w:val="xl77"/>
    <w:basedOn w:val="1"/>
    <w:qFormat/>
    <w:uiPriority w:val="0"/>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8">
    <w:name w:val="xl8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49">
    <w:name w:val="xl8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0">
    <w:name w:val="xl8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character" w:customStyle="1" w:styleId="51">
    <w:name w:val="文档结构图 Char"/>
    <w:basedOn w:val="17"/>
    <w:link w:val="5"/>
    <w:semiHidden/>
    <w:qFormat/>
    <w:uiPriority w:val="99"/>
    <w:rPr>
      <w:rFonts w:ascii="宋体" w:eastAsia="宋体"/>
      <w:kern w:val="2"/>
      <w:sz w:val="18"/>
      <w:szCs w:val="18"/>
    </w:rPr>
  </w:style>
  <w:style w:type="paragraph" w:customStyle="1" w:styleId="52">
    <w:name w:val="TOC Heading"/>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3">
    <w:name w:val="标题 2 Char"/>
    <w:basedOn w:val="17"/>
    <w:link w:val="3"/>
    <w:qFormat/>
    <w:uiPriority w:val="9"/>
    <w:rPr>
      <w:rFonts w:asciiTheme="majorHAnsi" w:hAnsiTheme="majorHAnsi" w:eastAsiaTheme="majorEastAsia" w:cstheme="majorBidi"/>
      <w:b/>
      <w:bCs/>
      <w:kern w:val="2"/>
      <w:sz w:val="32"/>
      <w:szCs w:val="32"/>
    </w:rPr>
  </w:style>
  <w:style w:type="paragraph" w:styleId="54">
    <w:name w:val="No Spacing"/>
    <w:qFormat/>
    <w:uiPriority w:val="1"/>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customStyle="1" w:styleId="5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5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BEF7F-6CC5-4AFC-9FD4-1B0A32C278C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9680</Words>
  <Characters>10803</Characters>
  <Lines>106</Lines>
  <Paragraphs>29</Paragraphs>
  <TotalTime>8</TotalTime>
  <ScaleCrop>false</ScaleCrop>
  <LinksUpToDate>false</LinksUpToDate>
  <CharactersWithSpaces>11075</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2019-05-17T08:36:00Z</dcterms:created>
  <dc:creator>USER</dc:creator>
  <cp:lastModifiedBy>安然</cp:lastModifiedBy>
  <cp:lastPrinted>2018-10-16T03:32:00Z</cp:lastPrinted>
  <dcterms:modified xsi:type="dcterms:W3CDTF">2019-06-06T01:10:24Z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